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heme="minorEastAsia" w:hAnsiTheme="minorEastAsia"/>
          <w:b/>
          <w:sz w:val="36"/>
          <w:szCs w:val="36"/>
          <w:highlight w:val="none"/>
        </w:rPr>
      </w:pPr>
      <w:r>
        <w:rPr>
          <w:rFonts w:hint="eastAsia" w:asciiTheme="minorEastAsia" w:hAnsiTheme="minorEastAsia"/>
          <w:b/>
          <w:sz w:val="36"/>
          <w:szCs w:val="36"/>
          <w:highlight w:val="none"/>
        </w:rPr>
        <w:t>财政拨款收入支出决算总表</w:t>
      </w:r>
    </w:p>
    <w:p>
      <w:pPr>
        <w:widowControl/>
        <w:jc w:val="right"/>
        <w:rPr>
          <w:rFonts w:ascii="仿宋_GB2312" w:eastAsia="仿宋_GB2312" w:hAnsiTheme="minorEastAsia"/>
          <w:b/>
          <w:sz w:val="22"/>
        </w:rPr>
      </w:pPr>
      <w:r>
        <w:rPr>
          <w:rFonts w:hint="eastAsia" w:ascii="仿宋_GB2312" w:eastAsia="仿宋_GB2312" w:hAnsiTheme="minorEastAsia"/>
          <w:b/>
          <w:sz w:val="22"/>
        </w:rPr>
        <w:t>公开04表</w:t>
      </w:r>
    </w:p>
    <w:p>
      <w:pPr>
        <w:widowControl/>
        <w:jc w:val="left"/>
        <w:rPr>
          <w:rFonts w:ascii="仿宋_GB2312" w:eastAsia="仿宋_GB2312" w:hAnsiTheme="minorEastAsia"/>
          <w:b/>
          <w:sz w:val="22"/>
        </w:rPr>
      </w:pPr>
      <w:r>
        <w:rPr>
          <w:rFonts w:hint="eastAsia" w:ascii="仿宋_GB2312" w:eastAsia="仿宋_GB2312" w:hAnsiTheme="minorEastAsia"/>
          <w:b/>
          <w:sz w:val="22"/>
        </w:rPr>
        <w:t>部门：益阳市赫山区农</w:t>
      </w:r>
      <w:r>
        <w:rPr>
          <w:rFonts w:hint="eastAsia" w:ascii="仿宋_GB2312" w:eastAsia="仿宋_GB2312" w:hAnsiTheme="minorEastAsia"/>
          <w:b/>
          <w:sz w:val="22"/>
          <w:lang w:val="en-US" w:eastAsia="zh-CN"/>
        </w:rPr>
        <w:t>业综合行政执法大队</w:t>
      </w:r>
      <w:r>
        <w:rPr>
          <w:rFonts w:hint="eastAsia" w:ascii="仿宋_GB2312" w:eastAsia="仿宋_GB2312" w:hAnsiTheme="minorEastAsia"/>
          <w:b/>
          <w:sz w:val="22"/>
        </w:rPr>
        <w:t xml:space="preserve">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 xml:space="preserve">                            </w:t>
      </w:r>
      <w:r>
        <w:rPr>
          <w:rFonts w:hint="eastAsia" w:ascii="仿宋_GB2312" w:eastAsia="仿宋_GB2312" w:hAnsiTheme="minorEastAsia"/>
          <w:b/>
          <w:sz w:val="22"/>
          <w:lang w:val="en-US" w:eastAsia="zh-CN"/>
        </w:rPr>
        <w:t xml:space="preserve">    </w:t>
      </w:r>
      <w:r>
        <w:rPr>
          <w:rFonts w:hint="eastAsia" w:ascii="仿宋_GB2312" w:eastAsia="仿宋_GB2312" w:hAnsiTheme="minorEastAsia"/>
          <w:b/>
          <w:sz w:val="22"/>
        </w:rPr>
        <w:t xml:space="preserve">                            单位：万元</w:t>
      </w:r>
    </w:p>
    <w:tbl>
      <w:tblPr>
        <w:tblStyle w:val="3"/>
        <w:tblW w:w="14679" w:type="dxa"/>
        <w:jc w:val="center"/>
        <w:tblInd w:w="93" w:type="dxa"/>
        <w:tblLayout w:type="fixed"/>
        <w:tblCellMar>
          <w:top w:w="0" w:type="dxa"/>
          <w:left w:w="108" w:type="dxa"/>
          <w:bottom w:w="0" w:type="dxa"/>
          <w:right w:w="108" w:type="dxa"/>
        </w:tblCellMar>
      </w:tblPr>
      <w:tblGrid>
        <w:gridCol w:w="3283"/>
        <w:gridCol w:w="571"/>
        <w:gridCol w:w="1103"/>
        <w:gridCol w:w="3456"/>
        <w:gridCol w:w="710"/>
        <w:gridCol w:w="1100"/>
        <w:gridCol w:w="1604"/>
        <w:gridCol w:w="1565"/>
        <w:gridCol w:w="1287"/>
      </w:tblGrid>
      <w:tr>
        <w:tblPrEx>
          <w:tblLayout w:type="fixed"/>
          <w:tblCellMar>
            <w:top w:w="0" w:type="dxa"/>
            <w:left w:w="108" w:type="dxa"/>
            <w:bottom w:w="0" w:type="dxa"/>
            <w:right w:w="108" w:type="dxa"/>
          </w:tblCellMar>
        </w:tblPrEx>
        <w:trPr>
          <w:trHeight w:val="374" w:hRule="atLeast"/>
          <w:jc w:val="center"/>
        </w:trPr>
        <w:tc>
          <w:tcPr>
            <w:tcW w:w="49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color w:val="000000"/>
                <w:kern w:val="0"/>
                <w:sz w:val="22"/>
              </w:rPr>
            </w:pPr>
            <w:bookmarkStart w:id="0" w:name="_GoBack"/>
            <w:r>
              <w:rPr>
                <w:rFonts w:hint="eastAsia" w:ascii="仿宋_GB2312" w:hAnsi="宋体" w:eastAsia="仿宋_GB2312" w:cs="Arial"/>
                <w:b/>
                <w:color w:val="000000"/>
                <w:kern w:val="0"/>
                <w:sz w:val="22"/>
              </w:rPr>
              <w:t>收     入</w:t>
            </w:r>
          </w:p>
        </w:tc>
        <w:tc>
          <w:tcPr>
            <w:tcW w:w="9722"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支     出</w:t>
            </w:r>
          </w:p>
        </w:tc>
      </w:tr>
      <w:tr>
        <w:tblPrEx>
          <w:tblLayout w:type="fixed"/>
          <w:tblCellMar>
            <w:top w:w="0" w:type="dxa"/>
            <w:left w:w="108" w:type="dxa"/>
            <w:bottom w:w="0" w:type="dxa"/>
            <w:right w:w="108" w:type="dxa"/>
          </w:tblCellMar>
        </w:tblPrEx>
        <w:trPr>
          <w:trHeight w:val="472" w:hRule="atLeast"/>
          <w:jc w:val="center"/>
        </w:trPr>
        <w:tc>
          <w:tcPr>
            <w:tcW w:w="32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w:t>
            </w:r>
          </w:p>
        </w:tc>
        <w:tc>
          <w:tcPr>
            <w:tcW w:w="57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行次</w:t>
            </w:r>
          </w:p>
        </w:tc>
        <w:tc>
          <w:tcPr>
            <w:tcW w:w="110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金额</w:t>
            </w:r>
          </w:p>
        </w:tc>
        <w:tc>
          <w:tcPr>
            <w:tcW w:w="34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项目</w:t>
            </w:r>
          </w:p>
        </w:tc>
        <w:tc>
          <w:tcPr>
            <w:tcW w:w="7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行次</w:t>
            </w:r>
          </w:p>
        </w:tc>
        <w:tc>
          <w:tcPr>
            <w:tcW w:w="1100"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合计</w:t>
            </w:r>
          </w:p>
        </w:tc>
        <w:tc>
          <w:tcPr>
            <w:tcW w:w="160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一般公共预算</w:t>
            </w:r>
          </w:p>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财政拨款</w:t>
            </w:r>
          </w:p>
        </w:tc>
        <w:tc>
          <w:tcPr>
            <w:tcW w:w="156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政府性基金预算财政拨款</w:t>
            </w:r>
          </w:p>
        </w:tc>
        <w:tc>
          <w:tcPr>
            <w:tcW w:w="128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国有资本经营预算财政拨款</w:t>
            </w:r>
          </w:p>
        </w:tc>
      </w:tr>
      <w:tr>
        <w:tblPrEx>
          <w:tblLayout w:type="fixed"/>
          <w:tblCellMar>
            <w:top w:w="0" w:type="dxa"/>
            <w:left w:w="108" w:type="dxa"/>
            <w:bottom w:w="0" w:type="dxa"/>
            <w:right w:w="108" w:type="dxa"/>
          </w:tblCellMar>
        </w:tblPrEx>
        <w:trPr>
          <w:trHeight w:val="610" w:hRule="atLeast"/>
          <w:jc w:val="center"/>
        </w:trPr>
        <w:tc>
          <w:tcPr>
            <w:tcW w:w="328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571"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1103"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3456"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710"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1100"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1565"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c>
          <w:tcPr>
            <w:tcW w:w="1287" w:type="dxa"/>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Arial"/>
                <w:color w:val="000000"/>
                <w:kern w:val="0"/>
                <w:sz w:val="22"/>
              </w:rPr>
            </w:pP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p>
        </w:tc>
        <w:tc>
          <w:tcPr>
            <w:tcW w:w="1103"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栏次</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p>
        </w:tc>
        <w:tc>
          <w:tcPr>
            <w:tcW w:w="110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一、一般公共预算财政拨款</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936.04</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一、一般公共服务支出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二、政府性基金预算财政拨款</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lang w:val="en-US" w:eastAsia="zh-CN"/>
              </w:rPr>
              <w:t>0</w:t>
            </w:r>
            <w:r>
              <w:rPr>
                <w:rFonts w:hint="eastAsia" w:ascii="仿宋_GB2312" w:hAnsi="宋体" w:eastAsia="仿宋_GB2312" w:cs="Arial"/>
                <w:color w:val="000000"/>
                <w:kern w:val="0"/>
                <w:sz w:val="22"/>
              </w:rPr>
              <w:t>.00</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二、外交支出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34</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三、国有资本经营预算财政拨款</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三、国防支出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35</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四、公共安全支出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36</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五、教育支出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37</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六、科学技术支出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38</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7</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七、文化旅游体育与传媒支出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39</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8</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八、社会保障和就业支出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40</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42.80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42.80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9</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九、卫生健康支出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41</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10.92</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10.92</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十、节能环保支出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42</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11</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十一、城乡社区支出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12</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十二、农林水支出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44</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867.27</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867.27</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十三、交通运输支出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45</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hint="default"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hint="default"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14</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十四、资源勘探工业信息等支出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46</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auto"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15</w:t>
            </w:r>
          </w:p>
        </w:tc>
        <w:tc>
          <w:tcPr>
            <w:tcW w:w="1103" w:type="dxa"/>
            <w:tcBorders>
              <w:top w:val="nil"/>
              <w:left w:val="nil"/>
              <w:bottom w:val="single" w:color="auto"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auto"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十五、商业服务业等支出</w:t>
            </w:r>
          </w:p>
        </w:tc>
        <w:tc>
          <w:tcPr>
            <w:tcW w:w="710" w:type="dxa"/>
            <w:tcBorders>
              <w:top w:val="nil"/>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47</w:t>
            </w:r>
          </w:p>
        </w:tc>
        <w:tc>
          <w:tcPr>
            <w:tcW w:w="1100" w:type="dxa"/>
            <w:tcBorders>
              <w:top w:val="nil"/>
              <w:left w:val="nil"/>
              <w:bottom w:val="single" w:color="auto"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auto"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auto"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auto"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4957"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rPr>
            </w:pPr>
            <w:r>
              <w:rPr>
                <w:rFonts w:hint="eastAsia" w:ascii="仿宋_GB2312" w:hAnsi="宋体" w:eastAsia="仿宋_GB2312" w:cs="Arial"/>
                <w:b/>
                <w:color w:val="000000"/>
                <w:kern w:val="0"/>
                <w:sz w:val="22"/>
              </w:rPr>
              <w:t>收     入</w:t>
            </w:r>
          </w:p>
        </w:tc>
        <w:tc>
          <w:tcPr>
            <w:tcW w:w="9722" w:type="dxa"/>
            <w:gridSpan w:val="6"/>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Arial"/>
                <w:b/>
                <w:color w:val="000000"/>
                <w:kern w:val="0"/>
                <w:sz w:val="22"/>
              </w:rPr>
            </w:pPr>
            <w:r>
              <w:rPr>
                <w:rFonts w:hint="eastAsia" w:ascii="仿宋_GB2312" w:hAnsi="宋体" w:eastAsia="仿宋_GB2312" w:cs="Arial"/>
                <w:b/>
                <w:color w:val="000000"/>
                <w:kern w:val="0"/>
                <w:sz w:val="22"/>
              </w:rPr>
              <w:t>支     出</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项目</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行次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金额</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项目</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行次</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合计</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color w:val="000000"/>
                <w:kern w:val="0"/>
                <w:sz w:val="22"/>
              </w:rPr>
            </w:pPr>
            <w:r>
              <w:rPr>
                <w:rFonts w:hint="eastAsia" w:ascii="仿宋_GB2312" w:hAnsi="宋体" w:eastAsia="仿宋_GB2312" w:cs="Arial"/>
                <w:b/>
                <w:color w:val="000000"/>
                <w:kern w:val="0"/>
                <w:sz w:val="22"/>
              </w:rPr>
              <w:t>一般公共预算</w:t>
            </w:r>
          </w:p>
          <w:p>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财政拨款</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政府性基金预算财政拨款</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Arial"/>
                <w:b/>
                <w:color w:val="000000"/>
                <w:kern w:val="0"/>
                <w:sz w:val="22"/>
                <w:szCs w:val="22"/>
                <w:lang w:val="en-US" w:eastAsia="zh-CN" w:bidi="ar-SA"/>
              </w:rPr>
            </w:pPr>
            <w:r>
              <w:rPr>
                <w:rFonts w:hint="eastAsia" w:ascii="仿宋_GB2312" w:hAnsi="宋体" w:eastAsia="仿宋_GB2312" w:cs="Arial"/>
                <w:b/>
                <w:color w:val="000000"/>
                <w:kern w:val="0"/>
                <w:sz w:val="22"/>
              </w:rPr>
              <w:t>国有资本经营预算财政拨款</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十六、金融支出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48</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17</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十七、援助其他地区支出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49</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18</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十八、自然资源海洋气象等支出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19</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十九、住房保障支出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51</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15.06</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15.06</w:t>
            </w:r>
          </w:p>
        </w:tc>
        <w:tc>
          <w:tcPr>
            <w:tcW w:w="1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Arial"/>
                <w:color w:val="000000"/>
                <w:kern w:val="0"/>
                <w:sz w:val="22"/>
              </w:rPr>
            </w:pPr>
            <w:r>
              <w:rPr>
                <w:rFonts w:hint="eastAsia" w:ascii="宋体" w:hAnsi="宋体" w:eastAsia="宋体" w:cs="宋体"/>
                <w:i w:val="0"/>
                <w:iCs w:val="0"/>
                <w:color w:val="000000"/>
                <w:kern w:val="0"/>
                <w:sz w:val="22"/>
                <w:szCs w:val="22"/>
                <w:u w:val="none"/>
                <w:lang w:val="en-US" w:eastAsia="zh-CN" w:bidi="ar"/>
              </w:rPr>
              <w:t>15.06</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二十、粮油物资储备支出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52</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21</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二十一、国有资本经营预算支出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22</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二十二、灾害防治及应急管理支出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54</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二十三、其他支出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55</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bCs/>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24</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二十四、债务还本支出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56</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25</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二十五、债务付息支出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57</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二十六、抗疫特别国债安排的支出</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58</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本年收入合计</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27</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936.04</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本年支出合计</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59</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936.04</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936.04</w:t>
            </w:r>
          </w:p>
        </w:tc>
        <w:tc>
          <w:tcPr>
            <w:tcW w:w="1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Arial"/>
                <w:color w:val="000000"/>
                <w:kern w:val="0"/>
                <w:sz w:val="22"/>
              </w:rPr>
            </w:pPr>
            <w:r>
              <w:rPr>
                <w:rFonts w:hint="eastAsia" w:ascii="宋体" w:hAnsi="宋体" w:eastAsia="宋体" w:cs="宋体"/>
                <w:i w:val="0"/>
                <w:iCs w:val="0"/>
                <w:color w:val="000000"/>
                <w:kern w:val="0"/>
                <w:sz w:val="22"/>
                <w:szCs w:val="22"/>
                <w:u w:val="none"/>
                <w:lang w:val="en-US" w:eastAsia="zh-CN" w:bidi="ar"/>
              </w:rPr>
              <w:t>936.04</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年初财政拨款结转和结余</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28</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年末财政拨款结转和结余</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一般公共预算财政拨款</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29</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61</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政府性基金预算财政拨款</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62</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 xml:space="preserve">  国有资本经营预算财政拨款</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31</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left"/>
              <w:rPr>
                <w:rFonts w:ascii="仿宋_GB2312" w:hAnsi="宋体" w:eastAsia="仿宋_GB2312" w:cs="Arial"/>
                <w:color w:val="000000"/>
                <w:kern w:val="0"/>
                <w:sz w:val="22"/>
              </w:rPr>
            </w:pP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604"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404" w:hRule="atLeast"/>
          <w:jc w:val="center"/>
        </w:trPr>
        <w:tc>
          <w:tcPr>
            <w:tcW w:w="328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总计</w:t>
            </w:r>
          </w:p>
        </w:tc>
        <w:tc>
          <w:tcPr>
            <w:tcW w:w="571"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32</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hint="default" w:ascii="仿宋_GB2312" w:hAnsi="宋体" w:eastAsia="仿宋_GB2312" w:cs="Arial"/>
                <w:color w:val="000000"/>
                <w:kern w:val="0"/>
                <w:sz w:val="22"/>
                <w:lang w:val="en-US" w:eastAsia="zh-CN"/>
              </w:rPr>
            </w:pPr>
            <w:r>
              <w:rPr>
                <w:rFonts w:hint="eastAsia" w:ascii="仿宋_GB2312" w:hAnsi="宋体" w:eastAsia="仿宋_GB2312" w:cs="Arial"/>
                <w:color w:val="000000"/>
                <w:kern w:val="0"/>
                <w:sz w:val="22"/>
                <w:lang w:val="en-US" w:eastAsia="zh-CN"/>
              </w:rPr>
              <w:t>936.04</w:t>
            </w:r>
          </w:p>
        </w:tc>
        <w:tc>
          <w:tcPr>
            <w:tcW w:w="3456"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b/>
                <w:bCs/>
                <w:color w:val="000000"/>
                <w:kern w:val="0"/>
                <w:sz w:val="22"/>
              </w:rPr>
            </w:pPr>
            <w:r>
              <w:rPr>
                <w:rFonts w:hint="eastAsia" w:ascii="仿宋_GB2312" w:hAnsi="宋体" w:eastAsia="仿宋_GB2312" w:cs="Arial"/>
                <w:b/>
                <w:bCs/>
                <w:color w:val="000000"/>
                <w:kern w:val="0"/>
                <w:sz w:val="22"/>
              </w:rPr>
              <w:t>总计</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center"/>
              <w:rPr>
                <w:rFonts w:ascii="仿宋_GB2312" w:hAnsi="宋体" w:eastAsia="仿宋_GB2312" w:cs="Arial"/>
                <w:color w:val="000000"/>
                <w:kern w:val="0"/>
                <w:sz w:val="22"/>
              </w:rPr>
            </w:pPr>
            <w:r>
              <w:rPr>
                <w:rFonts w:hint="eastAsia" w:ascii="仿宋_GB2312" w:hAnsi="宋体" w:eastAsia="仿宋_GB2312" w:cs="Arial"/>
                <w:color w:val="000000"/>
                <w:kern w:val="0"/>
                <w:sz w:val="22"/>
              </w:rPr>
              <w:t>64</w:t>
            </w:r>
          </w:p>
        </w:tc>
        <w:tc>
          <w:tcPr>
            <w:tcW w:w="1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936.04</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Arial"/>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936.04</w:t>
            </w:r>
          </w:p>
        </w:tc>
        <w:tc>
          <w:tcPr>
            <w:tcW w:w="1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Arial"/>
                <w:color w:val="000000"/>
                <w:kern w:val="0"/>
                <w:sz w:val="22"/>
              </w:rPr>
            </w:pPr>
            <w:r>
              <w:rPr>
                <w:rFonts w:hint="eastAsia" w:ascii="宋体" w:hAnsi="宋体" w:eastAsia="宋体" w:cs="宋体"/>
                <w:i w:val="0"/>
                <w:iCs w:val="0"/>
                <w:color w:val="000000"/>
                <w:kern w:val="0"/>
                <w:sz w:val="22"/>
                <w:szCs w:val="22"/>
                <w:u w:val="none"/>
                <w:lang w:val="en-US" w:eastAsia="zh-CN" w:bidi="ar"/>
              </w:rPr>
              <w:t>936.04</w:t>
            </w:r>
          </w:p>
        </w:tc>
        <w:tc>
          <w:tcPr>
            <w:tcW w:w="1287" w:type="dxa"/>
            <w:tcBorders>
              <w:top w:val="nil"/>
              <w:left w:val="nil"/>
              <w:bottom w:val="single" w:color="000000" w:sz="4" w:space="0"/>
              <w:right w:val="single" w:color="000000" w:sz="4" w:space="0"/>
            </w:tcBorders>
            <w:shd w:val="clear" w:color="auto" w:fill="auto"/>
            <w:noWrap/>
            <w:vAlign w:val="center"/>
          </w:tcPr>
          <w:p>
            <w:pPr>
              <w:widowControl/>
              <w:jc w:val="right"/>
              <w:rPr>
                <w:rFonts w:ascii="仿宋_GB2312" w:hAnsi="宋体" w:eastAsia="仿宋_GB2312" w:cs="Arial"/>
                <w:color w:val="000000"/>
                <w:kern w:val="0"/>
                <w:sz w:val="22"/>
              </w:rPr>
            </w:pPr>
            <w:r>
              <w:rPr>
                <w:rFonts w:hint="eastAsia" w:ascii="仿宋_GB2312" w:hAnsi="宋体" w:eastAsia="仿宋_GB2312" w:cs="Arial"/>
                <w:color w:val="000000"/>
                <w:kern w:val="0"/>
                <w:sz w:val="22"/>
              </w:rPr>
              <w:t>0.00</w:t>
            </w:r>
          </w:p>
        </w:tc>
      </w:tr>
      <w:tr>
        <w:tblPrEx>
          <w:tblLayout w:type="fixed"/>
          <w:tblCellMar>
            <w:top w:w="0" w:type="dxa"/>
            <w:left w:w="108" w:type="dxa"/>
            <w:bottom w:w="0" w:type="dxa"/>
            <w:right w:w="108" w:type="dxa"/>
          </w:tblCellMar>
        </w:tblPrEx>
        <w:trPr>
          <w:trHeight w:val="374" w:hRule="atLeast"/>
          <w:jc w:val="center"/>
        </w:trPr>
        <w:tc>
          <w:tcPr>
            <w:tcW w:w="13392" w:type="dxa"/>
            <w:gridSpan w:val="8"/>
            <w:tcBorders>
              <w:top w:val="nil"/>
              <w:left w:val="nil"/>
              <w:bottom w:val="nil"/>
              <w:right w:val="nil"/>
            </w:tcBorders>
            <w:shd w:val="clear" w:color="auto" w:fill="auto"/>
            <w:noWrap/>
            <w:vAlign w:val="center"/>
          </w:tcPr>
          <w:p>
            <w:pPr>
              <w:widowControl/>
              <w:jc w:val="left"/>
              <w:rPr>
                <w:rFonts w:ascii="仿宋_GB2312" w:hAnsi="宋体" w:eastAsia="仿宋_GB2312" w:cs="Arial"/>
                <w:color w:val="000000"/>
                <w:kern w:val="0"/>
                <w:sz w:val="22"/>
              </w:rPr>
            </w:pPr>
            <w:r>
              <w:rPr>
                <w:rFonts w:hint="eastAsia" w:ascii="仿宋_GB2312" w:hAnsi="宋体" w:eastAsia="仿宋_GB2312" w:cs="Arial"/>
                <w:color w:val="000000"/>
                <w:kern w:val="0"/>
                <w:sz w:val="22"/>
              </w:rPr>
              <w:t>注：本表反映部门本年度一般公共预算财政拨款、政府性基金预算财政拨款和国有资本经营预算财政拨款的总收支和年末结转结余情况。</w:t>
            </w:r>
          </w:p>
        </w:tc>
        <w:tc>
          <w:tcPr>
            <w:tcW w:w="1287" w:type="dxa"/>
            <w:tcBorders>
              <w:top w:val="nil"/>
              <w:left w:val="nil"/>
              <w:bottom w:val="nil"/>
              <w:right w:val="nil"/>
            </w:tcBorders>
            <w:shd w:val="clear" w:color="auto" w:fill="auto"/>
            <w:noWrap/>
            <w:vAlign w:val="center"/>
          </w:tcPr>
          <w:p>
            <w:pPr>
              <w:widowControl/>
              <w:jc w:val="left"/>
              <w:rPr>
                <w:rFonts w:ascii="仿宋_GB2312" w:hAnsi="宋体" w:eastAsia="仿宋_GB2312" w:cs="Arial"/>
                <w:color w:val="000000"/>
                <w:kern w:val="0"/>
                <w:sz w:val="22"/>
              </w:rPr>
            </w:pPr>
          </w:p>
        </w:tc>
      </w:tr>
      <w:bookmarkEnd w:id="0"/>
    </w:tbl>
    <w:p/>
    <w:sectPr>
      <w:pgSz w:w="16838" w:h="11906" w:orient="landscape"/>
      <w:pgMar w:top="1587" w:right="2098" w:bottom="1474" w:left="1984"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5618E"/>
    <w:rsid w:val="046D4E74"/>
    <w:rsid w:val="4175618E"/>
    <w:rsid w:val="528F1CD8"/>
    <w:rsid w:val="5CDE5519"/>
    <w:rsid w:val="6506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99"/>
    <w:pPr>
      <w:spacing w:beforeAutospacing="1" w:afterAutospacing="1"/>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2025-09-03T09:04:00Z</dcterms:created>
  <dc:creator>、</dc:creator>
  <cp:lastModifiedBy>、</cp:lastModifiedBy>
  <dcterms:modified xsi:type="dcterms:W3CDTF">2025-09-03T09:05:29Z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