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B0F55">
      <w:pPr>
        <w:spacing w:line="660" w:lineRule="exact"/>
        <w:jc w:val="center"/>
        <w:rPr>
          <w:rFonts w:ascii="黑体" w:hAnsi="黑体" w:eastAsia="黑体" w:cs="黑体"/>
          <w:sz w:val="36"/>
          <w:szCs w:val="36"/>
        </w:rPr>
      </w:pPr>
    </w:p>
    <w:p w14:paraId="74AAFD7E">
      <w:pPr>
        <w:spacing w:line="660" w:lineRule="exact"/>
        <w:jc w:val="center"/>
        <w:rPr>
          <w:rFonts w:ascii="黑体" w:hAnsi="黑体" w:eastAsia="黑体" w:cs="黑体"/>
          <w:sz w:val="36"/>
          <w:szCs w:val="36"/>
        </w:rPr>
      </w:pPr>
      <w:r>
        <w:rPr>
          <w:rFonts w:hint="eastAsia" w:ascii="黑体" w:hAnsi="黑体" w:eastAsia="黑体" w:cs="黑体"/>
          <w:sz w:val="36"/>
          <w:szCs w:val="36"/>
        </w:rPr>
        <w:t>益阳市赫山区自然资源局2021年度部门</w:t>
      </w:r>
    </w:p>
    <w:p w14:paraId="3F8609DB">
      <w:pPr>
        <w:spacing w:line="660" w:lineRule="exact"/>
        <w:jc w:val="center"/>
        <w:rPr>
          <w:rFonts w:ascii="仿宋" w:hAnsi="仿宋" w:eastAsia="仿宋" w:cs="仿宋"/>
          <w:sz w:val="30"/>
          <w:szCs w:val="30"/>
        </w:rPr>
      </w:pPr>
      <w:r>
        <w:rPr>
          <w:rFonts w:hint="eastAsia" w:ascii="黑体" w:hAnsi="黑体" w:eastAsia="黑体" w:cs="黑体"/>
          <w:sz w:val="36"/>
          <w:szCs w:val="36"/>
        </w:rPr>
        <w:t>整体支出绩效评价报告</w:t>
      </w:r>
    </w:p>
    <w:p w14:paraId="5F9798D8">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为深入贯彻落实《中共中央国务院关于全面实施预算绩效管理的意见》（中发〔2018〕34号）精神，不断增强预算绩效理念，强化部门支出责任，提高财政资金使用效益，根据《财政部关于印发&lt;财政支出绩效评价管理办法&gt;的通知》（财预〔2020〕10号）、《湖南省财政厅关于印发&lt;湖南省预算支出绩效评价管理办法&gt;的通知》（湘财绩〔2020〕7号）和《益阳市赫山区财政局关于做好2021年度财预算绩效自评工作的通知》（益赫财绩〔2022〕1号）等有关文件精神，为做好2021年度绩效自评工作，我局成立绩效评价工作组，于2022年4月6日-2021年5月18日对2021年度整体支出绩效进行了自我评价。现将有关情况报告如下：</w:t>
      </w:r>
    </w:p>
    <w:p w14:paraId="6D931ECF">
      <w:pPr>
        <w:topLinePunct/>
        <w:adjustRightInd w:val="0"/>
        <w:snapToGrid w:val="0"/>
        <w:spacing w:line="600" w:lineRule="exact"/>
        <w:ind w:firstLine="600" w:firstLineChars="200"/>
        <w:rPr>
          <w:rFonts w:ascii="黑体" w:hAnsi="黑体" w:eastAsia="黑体" w:cs="黑体"/>
          <w:sz w:val="30"/>
          <w:szCs w:val="30"/>
        </w:rPr>
      </w:pPr>
      <w:r>
        <w:rPr>
          <w:rFonts w:hint="eastAsia" w:ascii="黑体" w:hAnsi="黑体" w:eastAsia="黑体" w:cs="黑体"/>
          <w:sz w:val="30"/>
          <w:szCs w:val="30"/>
        </w:rPr>
        <w:t>一、部门、单位基本情况</w:t>
      </w:r>
    </w:p>
    <w:p w14:paraId="1F9D6E70">
      <w:pPr>
        <w:spacing w:line="600" w:lineRule="exact"/>
        <w:ind w:firstLine="602" w:firstLineChars="200"/>
        <w:rPr>
          <w:rFonts w:ascii="仿宋" w:hAnsi="仿宋" w:eastAsia="仿宋" w:cs="仿宋"/>
          <w:sz w:val="30"/>
          <w:szCs w:val="30"/>
        </w:rPr>
      </w:pPr>
      <w:r>
        <w:rPr>
          <w:rFonts w:hint="eastAsia" w:ascii="仿宋" w:hAnsi="仿宋" w:eastAsia="仿宋" w:cs="仿宋"/>
          <w:b/>
          <w:bCs/>
          <w:sz w:val="30"/>
          <w:szCs w:val="30"/>
        </w:rPr>
        <w:t>（一）主要职能</w:t>
      </w:r>
    </w:p>
    <w:p w14:paraId="519005E9">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1.依法履行赫山区辖区内（除市直管中心城区范围以外）全民所有土地、矿产、森林、草原、湿地、水等自然资源资产所有者职责和国土空间用途管制职责。</w:t>
      </w:r>
    </w:p>
    <w:p w14:paraId="79F2F276">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2.负责实施自然资源基础调查、专项调查和监测。负责自然资源调查监测评价成果的监督管理和信息发布。指导全区自然资源调查监测评价工作。</w:t>
      </w:r>
    </w:p>
    <w:p w14:paraId="67A7B1D3">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3.负责自然资源统一确权登记工作。履行各类自然资源和不动产统一确权登记、权籍调查、不动产测绘、争议调处、成果应用的职责。建立健全全区自然资源和不动产登记信息管理基础平台。负责自然资源和不动产登记资料收集、整理、共享、汇交管理等。指导监督全区自然资源和不动产确权登记工作。</w:t>
      </w:r>
    </w:p>
    <w:p w14:paraId="0594147C">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4.负责自然资源资产有偿使用工作。负责全民所有自然资源资产统计工作，负责全民所有自然资源资产核算。编制全民所有自然资源资产负债表，拟订考核标准。负责全民所有自然资源资产划拨、出让、租赁、作价出资和土地储备工作，合理配置全民所有自然资源资产。负责自然资源资产价值评估管理。</w:t>
      </w:r>
    </w:p>
    <w:p w14:paraId="36232D59">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5.负责自然资源的合理开发利用。组织拟订自然资源发展规划和战略，实施上级制定的自然资源开发利用标准，建立政府公示自然资源价格体系，组织开展自然资</w:t>
      </w:r>
      <w:bookmarkStart w:id="0" w:name="_GoBack"/>
      <w:bookmarkEnd w:id="0"/>
      <w:r>
        <w:rPr>
          <w:rFonts w:hint="eastAsia" w:ascii="仿宋" w:hAnsi="仿宋" w:eastAsia="仿宋" w:cs="仿宋"/>
          <w:sz w:val="30"/>
          <w:szCs w:val="30"/>
        </w:rPr>
        <w:t>源分等定级价格评估，开展自然资源利用评价考核，指导节约集约利用。负责自然资源市场监管。组织研究自然资源管理涉及宏观调控、区域协调和城乡统筹的政策措施。</w:t>
      </w:r>
    </w:p>
    <w:p w14:paraId="130FFA97">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6.负责建立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和组织实施国土空间用途管制制度。承担全区城乡规划管理工作，研究拟订城乡规划政策并监督实施。组织实施土地等自然资源年度利用计划。负责土地等国土空间用途转用工作。负责土地征收征用管理。</w:t>
      </w:r>
    </w:p>
    <w:p w14:paraId="64F6A9EF">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7.负责统筹国土空间生态修复。牵头组织编制全区国土空间生态修复规划并实施有关生态修复工程。负责国土空间综合整治、土地整理复垦、矿山地质环境恢复治理等工作。执行生态保护补偿制度，制定合理利用社会资金进行生态修复的制度措施，并提出区级所有备选项目。</w:t>
      </w:r>
    </w:p>
    <w:p w14:paraId="3B95D3F9">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8.负责组织实施最严格的耕地保护制度。执行耕地保护政策，负责耕地数量和生态保护，做好耕地质量保护有关工作。组织实施耕地保护责任目标考核和永久基本农田特殊保护。执行耕地占补平衡制度。</w:t>
      </w:r>
    </w:p>
    <w:p w14:paraId="4DC99BBF">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9.负责管理全区地质工作和联系辖区内地勘单位。编制全区地质勘查规划并监督检查执行情况。监督管理辖区内地质勘查项目。监督管理地下水过量开采及引发的地面沉降等地质问题。负责古生物化石的监督管理。</w:t>
      </w:r>
    </w:p>
    <w:p w14:paraId="7F6605B9">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10.负责地质灾害预防和治理。负责落实综合防灾减灾规划相关要求，组织编制地质灾害防治规划并组织实施。组织指导协调和监督地质灾害调查评价及隐患普查、详查、排查。指导开展群测群防、专业监测和预报预警等工作，指导开展地质灾害工程治理工作。承担地质灾害应急救援的技术支撑工作。</w:t>
      </w:r>
    </w:p>
    <w:p w14:paraId="7DE0143A">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11.负责矿产资源管理工作。负责矿产资源储量管理及矿业权管理。监督指导矿产资源合理利用和保护。</w:t>
      </w:r>
    </w:p>
    <w:p w14:paraId="0551B946">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12.负责测绘地理信息管理工作。负责辖区内基础测绘。负责监督管理地理信息安全和市场秩序。负责地图管理、地理信息公共服务工作。负责测量标志保护。</w:t>
      </w:r>
    </w:p>
    <w:p w14:paraId="31FEA788">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13.根据区委授权，对乡（镇、街道）以及园区相关部门落实区委、区政府关于自然资源和国土空间规划的政策、决策部署及法律法规执行情况进行督察。查处自然资源开发利用和国土空间规划及测绘违法案件。</w:t>
      </w:r>
    </w:p>
    <w:p w14:paraId="608BF774">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14.统一领导和管理区林业局。</w:t>
      </w:r>
    </w:p>
    <w:p w14:paraId="31CDF8A2">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15.完成区委、区政府交办的其他任务。</w:t>
      </w:r>
    </w:p>
    <w:p w14:paraId="445F2F89">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16.职能转变。落实中央、省、市关于统一行使全民所有自然资源资产所有者职责，统一行使所有国土空间用途管制和生态保护修复职责的要求，强化顶层设计，发挥国土空间规划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利用。进一步精简有关行政审批事项、强化监管力度，充分发挥市场对资源配置的决定性作用，更好发挥政府作用，强化自然资源管理规则、标准、制度的约束性作用，推进自然资源确权登记和评估的便民高效。</w:t>
      </w:r>
    </w:p>
    <w:p w14:paraId="4BFF055C">
      <w:p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（二）机构情况</w:t>
      </w:r>
    </w:p>
    <w:p w14:paraId="45B2A224">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2021年本单位机关内设股室13个，六个二级机构组成。</w:t>
      </w:r>
    </w:p>
    <w:p w14:paraId="42D99D40">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根据赫山区编制委员会核定，我局机关内设股室13个，六个二级机构。</w:t>
      </w:r>
    </w:p>
    <w:p w14:paraId="4B760FC2">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内设股室分别为办公室、人事监察股、财务股、行政审批股、耕地保护监督股、国土空间规划股、规划技术股、国土空间用途管制股、调查监测股、开发利用股、确权登记股、国土空间生态修复股、地矿股。  </w:t>
      </w:r>
    </w:p>
    <w:p w14:paraId="4724D758">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所属二级机构分别是益阳市赫山区国土执法监察大队（副科级公益一类事业单位）、益阳市赫山区自然资源修复事务中心（副科级公益一类事业单位）、益阳市赫山区不动产登记中心（副科级公益一类事业单位）、益阳市赫山区征地拆迁和测绘队(副科级公益一类事业单位）、益阳市赫山区土地储备发展中心（股级公益一类事业单位）、益阳市赫山区国土空间规划中心（股级公益一类事业单位）。二级机构及所有内设股室全部纳入2021年局机关部门决算编制范围。</w:t>
      </w:r>
    </w:p>
    <w:p w14:paraId="7F6F5225">
      <w:p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（三）人员情况</w:t>
      </w:r>
    </w:p>
    <w:p w14:paraId="12FA255C">
      <w:pPr>
        <w:spacing w:line="600" w:lineRule="exact"/>
        <w:ind w:left="420" w:leftChars="200" w:firstLine="600" w:firstLineChars="200"/>
        <w:rPr>
          <w:rFonts w:ascii="仿宋" w:hAnsi="仿宋" w:eastAsia="仿宋" w:cs="仿宋"/>
          <w:sz w:val="30"/>
          <w:szCs w:val="30"/>
        </w:rPr>
      </w:pPr>
      <w:r>
        <w:rPr>
          <w:rFonts w:hint="eastAsia" w:ascii="仿宋" w:hAnsi="仿宋" w:eastAsia="仿宋" w:cs="仿宋"/>
          <w:sz w:val="30"/>
          <w:szCs w:val="30"/>
        </w:rPr>
        <w:t>2021年本单位年末编制人数118人，其中财政全额拨款编制 95人，自收自支编制23人。年末实有人数118 人，退休人员25人。</w:t>
      </w:r>
    </w:p>
    <w:p w14:paraId="1434E1D8">
      <w:pPr>
        <w:spacing w:line="600" w:lineRule="exact"/>
        <w:ind w:firstLine="600" w:firstLineChars="200"/>
        <w:rPr>
          <w:rFonts w:ascii="黑体" w:hAnsi="黑体" w:eastAsia="黑体" w:cs="黑体"/>
          <w:b/>
          <w:bCs/>
          <w:sz w:val="30"/>
          <w:szCs w:val="30"/>
        </w:rPr>
      </w:pPr>
      <w:r>
        <w:rPr>
          <w:rFonts w:hint="eastAsia" w:ascii="黑体" w:hAnsi="黑体" w:eastAsia="黑体" w:cs="黑体"/>
          <w:sz w:val="30"/>
          <w:szCs w:val="30"/>
        </w:rPr>
        <w:t>二、一般公共预算支出情况</w:t>
      </w:r>
    </w:p>
    <w:p w14:paraId="66730255">
      <w:pPr>
        <w:pStyle w:val="7"/>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（一）基本支出情况</w:t>
      </w:r>
    </w:p>
    <w:p w14:paraId="0B9600E2">
      <w:pPr>
        <w:topLinePunct/>
        <w:adjustRightInd w:val="0"/>
        <w:snapToGrid w:val="0"/>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2021年赫山区自然资源局一般公共预算财政拨款支出3519.81万元，其中：基本支出2136.89万元，项目支出1382.92万元。</w:t>
      </w:r>
    </w:p>
    <w:p w14:paraId="04C55E9E">
      <w:pPr>
        <w:topLinePunct/>
        <w:adjustRightInd w:val="0"/>
        <w:snapToGrid w:val="0"/>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1.2021年基本支出明细表（单位：万元）</w:t>
      </w:r>
    </w:p>
    <w:tbl>
      <w:tblPr>
        <w:tblStyle w:val="8"/>
        <w:tblW w:w="8906" w:type="dxa"/>
        <w:jc w:val="center"/>
        <w:tblLayout w:type="fixed"/>
        <w:tblCellMar>
          <w:top w:w="0" w:type="dxa"/>
          <w:left w:w="0" w:type="dxa"/>
          <w:bottom w:w="0" w:type="dxa"/>
          <w:right w:w="0" w:type="dxa"/>
        </w:tblCellMar>
      </w:tblPr>
      <w:tblGrid>
        <w:gridCol w:w="2605"/>
        <w:gridCol w:w="1423"/>
        <w:gridCol w:w="1533"/>
        <w:gridCol w:w="1617"/>
        <w:gridCol w:w="1728"/>
      </w:tblGrid>
      <w:tr w14:paraId="04BA02AD">
        <w:tblPrEx>
          <w:tblCellMar>
            <w:top w:w="0" w:type="dxa"/>
            <w:left w:w="0" w:type="dxa"/>
            <w:bottom w:w="0" w:type="dxa"/>
            <w:right w:w="0" w:type="dxa"/>
          </w:tblCellMar>
        </w:tblPrEx>
        <w:trPr>
          <w:trHeight w:val="510" w:hRule="exact"/>
          <w:jc w:val="center"/>
        </w:trPr>
        <w:tc>
          <w:tcPr>
            <w:tcW w:w="2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542C68A">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预算项目</w:t>
            </w:r>
          </w:p>
        </w:tc>
        <w:tc>
          <w:tcPr>
            <w:tcW w:w="1423"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7C07EFC5">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本年预算</w:t>
            </w:r>
          </w:p>
        </w:tc>
        <w:tc>
          <w:tcPr>
            <w:tcW w:w="1533"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78359592">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本年追加</w:t>
            </w:r>
          </w:p>
        </w:tc>
        <w:tc>
          <w:tcPr>
            <w:tcW w:w="161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32F65267">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上年结转</w:t>
            </w:r>
          </w:p>
        </w:tc>
        <w:tc>
          <w:tcPr>
            <w:tcW w:w="1728"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2B3372ED">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本年可用指标</w:t>
            </w:r>
          </w:p>
        </w:tc>
      </w:tr>
      <w:tr w14:paraId="6814BDFD">
        <w:tblPrEx>
          <w:tblCellMar>
            <w:top w:w="0" w:type="dxa"/>
            <w:left w:w="0" w:type="dxa"/>
            <w:bottom w:w="0" w:type="dxa"/>
            <w:right w:w="0" w:type="dxa"/>
          </w:tblCellMar>
        </w:tblPrEx>
        <w:trPr>
          <w:trHeight w:val="510" w:hRule="exact"/>
          <w:jc w:val="center"/>
        </w:trPr>
        <w:tc>
          <w:tcPr>
            <w:tcW w:w="260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6E085969">
            <w:pPr>
              <w:widowControl/>
              <w:adjustRightInd w:val="0"/>
              <w:snapToGrid w:val="0"/>
              <w:jc w:val="left"/>
              <w:rPr>
                <w:rFonts w:ascii="仿宋_GB2312" w:hAnsi="仿宋_GB2312" w:eastAsia="仿宋_GB2312" w:cs="仿宋_GB2312"/>
                <w:bCs/>
                <w:kern w:val="0"/>
                <w:sz w:val="24"/>
              </w:rPr>
            </w:pPr>
            <w:r>
              <w:rPr>
                <w:rFonts w:hint="eastAsia" w:ascii="仿宋_GB2312" w:hAnsi="仿宋_GB2312" w:eastAsia="仿宋_GB2312" w:cs="仿宋_GB2312"/>
                <w:bCs/>
                <w:kern w:val="0"/>
                <w:sz w:val="24"/>
              </w:rPr>
              <w:t>工资福利支出</w:t>
            </w:r>
          </w:p>
        </w:tc>
        <w:tc>
          <w:tcPr>
            <w:tcW w:w="1423"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C493BE6">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841.73</w:t>
            </w:r>
          </w:p>
        </w:tc>
        <w:tc>
          <w:tcPr>
            <w:tcW w:w="1533"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E0B6BD7">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198.25</w:t>
            </w:r>
          </w:p>
        </w:tc>
        <w:tc>
          <w:tcPr>
            <w:tcW w:w="161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F3391B1">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458.3</w:t>
            </w:r>
          </w:p>
        </w:tc>
        <w:tc>
          <w:tcPr>
            <w:tcW w:w="172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AE58534">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1498.28</w:t>
            </w:r>
          </w:p>
        </w:tc>
      </w:tr>
      <w:tr w14:paraId="77CB323B">
        <w:tblPrEx>
          <w:tblCellMar>
            <w:top w:w="0" w:type="dxa"/>
            <w:left w:w="0" w:type="dxa"/>
            <w:bottom w:w="0" w:type="dxa"/>
            <w:right w:w="0" w:type="dxa"/>
          </w:tblCellMar>
        </w:tblPrEx>
        <w:trPr>
          <w:trHeight w:val="510" w:hRule="exact"/>
          <w:jc w:val="center"/>
        </w:trPr>
        <w:tc>
          <w:tcPr>
            <w:tcW w:w="260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7D7A17F4">
            <w:pPr>
              <w:widowControl/>
              <w:adjustRightInd w:val="0"/>
              <w:snapToGrid w:val="0"/>
              <w:jc w:val="left"/>
              <w:rPr>
                <w:rFonts w:ascii="仿宋_GB2312" w:hAnsi="仿宋_GB2312" w:eastAsia="仿宋_GB2312" w:cs="仿宋_GB2312"/>
                <w:bCs/>
                <w:kern w:val="0"/>
                <w:sz w:val="24"/>
              </w:rPr>
            </w:pPr>
            <w:r>
              <w:rPr>
                <w:rFonts w:hint="eastAsia" w:ascii="仿宋_GB2312" w:hAnsi="仿宋_GB2312" w:eastAsia="仿宋_GB2312" w:cs="仿宋_GB2312"/>
                <w:bCs/>
                <w:kern w:val="0"/>
                <w:sz w:val="24"/>
              </w:rPr>
              <w:t>商品和服务支出</w:t>
            </w:r>
          </w:p>
        </w:tc>
        <w:tc>
          <w:tcPr>
            <w:tcW w:w="1423"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4159557">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115.3</w:t>
            </w:r>
          </w:p>
        </w:tc>
        <w:tc>
          <w:tcPr>
            <w:tcW w:w="1533"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CDEFA06">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294.48</w:t>
            </w:r>
          </w:p>
        </w:tc>
        <w:tc>
          <w:tcPr>
            <w:tcW w:w="161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8E2417E">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181.18</w:t>
            </w:r>
          </w:p>
        </w:tc>
        <w:tc>
          <w:tcPr>
            <w:tcW w:w="172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D0251C5">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590.96</w:t>
            </w:r>
          </w:p>
        </w:tc>
      </w:tr>
      <w:tr w14:paraId="6EBE13B9">
        <w:tblPrEx>
          <w:tblCellMar>
            <w:top w:w="0" w:type="dxa"/>
            <w:left w:w="0" w:type="dxa"/>
            <w:bottom w:w="0" w:type="dxa"/>
            <w:right w:w="0" w:type="dxa"/>
          </w:tblCellMar>
        </w:tblPrEx>
        <w:trPr>
          <w:trHeight w:val="510" w:hRule="exact"/>
          <w:jc w:val="center"/>
        </w:trPr>
        <w:tc>
          <w:tcPr>
            <w:tcW w:w="260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7C91A66A">
            <w:pPr>
              <w:widowControl/>
              <w:adjustRightInd w:val="0"/>
              <w:snapToGrid w:val="0"/>
              <w:jc w:val="left"/>
              <w:rPr>
                <w:rFonts w:ascii="仿宋_GB2312" w:hAnsi="仿宋_GB2312" w:eastAsia="仿宋_GB2312" w:cs="仿宋_GB2312"/>
                <w:bCs/>
                <w:kern w:val="0"/>
                <w:sz w:val="24"/>
              </w:rPr>
            </w:pPr>
            <w:r>
              <w:rPr>
                <w:rFonts w:hint="eastAsia" w:ascii="仿宋_GB2312" w:hAnsi="仿宋_GB2312" w:eastAsia="仿宋_GB2312" w:cs="仿宋_GB2312"/>
                <w:bCs/>
                <w:kern w:val="0"/>
                <w:sz w:val="24"/>
              </w:rPr>
              <w:t>对个人和家庭补助</w:t>
            </w:r>
          </w:p>
        </w:tc>
        <w:tc>
          <w:tcPr>
            <w:tcW w:w="1423"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5BE3051">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1.82</w:t>
            </w:r>
          </w:p>
        </w:tc>
        <w:tc>
          <w:tcPr>
            <w:tcW w:w="1533"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AFB8D4B">
            <w:pPr>
              <w:widowControl/>
              <w:adjustRightInd w:val="0"/>
              <w:snapToGrid w:val="0"/>
              <w:jc w:val="center"/>
            </w:pPr>
            <w:r>
              <w:rPr>
                <w:rFonts w:hint="eastAsia" w:ascii="仿宋_GB2312" w:hAnsi="仿宋_GB2312" w:eastAsia="仿宋_GB2312" w:cs="仿宋_GB2312"/>
                <w:bCs/>
                <w:kern w:val="0"/>
                <w:sz w:val="24"/>
              </w:rPr>
              <w:t>36.33</w:t>
            </w:r>
          </w:p>
        </w:tc>
        <w:tc>
          <w:tcPr>
            <w:tcW w:w="161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E629F05">
            <w:pPr>
              <w:widowControl/>
              <w:adjustRightInd w:val="0"/>
              <w:snapToGrid w:val="0"/>
              <w:jc w:val="center"/>
              <w:rPr>
                <w:rFonts w:ascii="仿宋_GB2312" w:hAnsi="仿宋_GB2312" w:eastAsia="仿宋_GB2312" w:cs="仿宋_GB2312"/>
                <w:bCs/>
                <w:kern w:val="0"/>
                <w:sz w:val="24"/>
              </w:rPr>
            </w:pPr>
          </w:p>
        </w:tc>
        <w:tc>
          <w:tcPr>
            <w:tcW w:w="172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BDA6D58">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38.15</w:t>
            </w:r>
          </w:p>
        </w:tc>
      </w:tr>
      <w:tr w14:paraId="581B8EEC">
        <w:tblPrEx>
          <w:tblCellMar>
            <w:top w:w="0" w:type="dxa"/>
            <w:left w:w="0" w:type="dxa"/>
            <w:bottom w:w="0" w:type="dxa"/>
            <w:right w:w="0" w:type="dxa"/>
          </w:tblCellMar>
        </w:tblPrEx>
        <w:trPr>
          <w:trHeight w:val="510" w:hRule="exact"/>
          <w:jc w:val="center"/>
        </w:trPr>
        <w:tc>
          <w:tcPr>
            <w:tcW w:w="260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4A0802F4">
            <w:pPr>
              <w:widowControl/>
              <w:adjustRightInd w:val="0"/>
              <w:snapToGrid w:val="0"/>
              <w:jc w:val="left"/>
              <w:rPr>
                <w:rFonts w:ascii="仿宋_GB2312" w:hAnsi="仿宋_GB2312" w:eastAsia="仿宋_GB2312" w:cs="仿宋_GB2312"/>
                <w:bCs/>
                <w:kern w:val="0"/>
                <w:sz w:val="24"/>
              </w:rPr>
            </w:pPr>
            <w:r>
              <w:rPr>
                <w:rFonts w:hint="eastAsia" w:ascii="仿宋_GB2312" w:hAnsi="仿宋_GB2312" w:eastAsia="仿宋_GB2312" w:cs="仿宋_GB2312"/>
                <w:bCs/>
                <w:kern w:val="0"/>
                <w:sz w:val="24"/>
              </w:rPr>
              <w:t>资本性支出</w:t>
            </w:r>
          </w:p>
        </w:tc>
        <w:tc>
          <w:tcPr>
            <w:tcW w:w="1423"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CE57B7E">
            <w:pPr>
              <w:widowControl/>
              <w:adjustRightInd w:val="0"/>
              <w:snapToGrid w:val="0"/>
              <w:jc w:val="center"/>
              <w:rPr>
                <w:rFonts w:ascii="仿宋_GB2312" w:hAnsi="仿宋_GB2312" w:eastAsia="仿宋_GB2312" w:cs="仿宋_GB2312"/>
                <w:bCs/>
                <w:kern w:val="0"/>
                <w:sz w:val="24"/>
              </w:rPr>
            </w:pPr>
          </w:p>
        </w:tc>
        <w:tc>
          <w:tcPr>
            <w:tcW w:w="1533"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8AC5160">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9.5</w:t>
            </w:r>
          </w:p>
        </w:tc>
        <w:tc>
          <w:tcPr>
            <w:tcW w:w="161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FBD9573">
            <w:pPr>
              <w:widowControl/>
              <w:adjustRightInd w:val="0"/>
              <w:snapToGrid w:val="0"/>
              <w:jc w:val="center"/>
              <w:rPr>
                <w:rFonts w:ascii="仿宋_GB2312" w:hAnsi="仿宋_GB2312" w:eastAsia="仿宋_GB2312" w:cs="仿宋_GB2312"/>
                <w:bCs/>
                <w:kern w:val="0"/>
                <w:sz w:val="24"/>
              </w:rPr>
            </w:pPr>
          </w:p>
        </w:tc>
        <w:tc>
          <w:tcPr>
            <w:tcW w:w="172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EADD092">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9.5</w:t>
            </w:r>
          </w:p>
        </w:tc>
      </w:tr>
      <w:tr w14:paraId="5EE1F089">
        <w:tblPrEx>
          <w:tblCellMar>
            <w:top w:w="0" w:type="dxa"/>
            <w:left w:w="0" w:type="dxa"/>
            <w:bottom w:w="0" w:type="dxa"/>
            <w:right w:w="0" w:type="dxa"/>
          </w:tblCellMar>
        </w:tblPrEx>
        <w:trPr>
          <w:trHeight w:val="510" w:hRule="exact"/>
          <w:jc w:val="center"/>
        </w:trPr>
        <w:tc>
          <w:tcPr>
            <w:tcW w:w="260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CF1FEC1">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合  计</w:t>
            </w:r>
          </w:p>
        </w:tc>
        <w:tc>
          <w:tcPr>
            <w:tcW w:w="1423"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13BDF59">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958.85</w:t>
            </w:r>
          </w:p>
        </w:tc>
        <w:tc>
          <w:tcPr>
            <w:tcW w:w="1533"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33DC420">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538.56</w:t>
            </w:r>
          </w:p>
        </w:tc>
        <w:tc>
          <w:tcPr>
            <w:tcW w:w="161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97813CF">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639.48</w:t>
            </w:r>
          </w:p>
        </w:tc>
        <w:tc>
          <w:tcPr>
            <w:tcW w:w="172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34EE16D">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2136.89</w:t>
            </w:r>
          </w:p>
        </w:tc>
      </w:tr>
    </w:tbl>
    <w:p w14:paraId="5343C973">
      <w:pPr>
        <w:adjustRightInd w:val="0"/>
        <w:snapToGrid w:val="0"/>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2.2021年基本支出使用情况（单位：万元）</w:t>
      </w:r>
    </w:p>
    <w:tbl>
      <w:tblPr>
        <w:tblStyle w:val="8"/>
        <w:tblW w:w="8946" w:type="dxa"/>
        <w:jc w:val="center"/>
        <w:tblLayout w:type="fixed"/>
        <w:tblCellMar>
          <w:top w:w="0" w:type="dxa"/>
          <w:left w:w="0" w:type="dxa"/>
          <w:bottom w:w="0" w:type="dxa"/>
          <w:right w:w="0" w:type="dxa"/>
        </w:tblCellMar>
      </w:tblPr>
      <w:tblGrid>
        <w:gridCol w:w="3164"/>
        <w:gridCol w:w="1820"/>
        <w:gridCol w:w="1724"/>
        <w:gridCol w:w="2238"/>
      </w:tblGrid>
      <w:tr w14:paraId="36EBA702">
        <w:tblPrEx>
          <w:tblCellMar>
            <w:top w:w="0" w:type="dxa"/>
            <w:left w:w="0" w:type="dxa"/>
            <w:bottom w:w="0" w:type="dxa"/>
            <w:right w:w="0" w:type="dxa"/>
          </w:tblCellMar>
        </w:tblPrEx>
        <w:trPr>
          <w:trHeight w:val="570" w:hRule="exact"/>
          <w:jc w:val="center"/>
        </w:trPr>
        <w:tc>
          <w:tcPr>
            <w:tcW w:w="316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3D5437A">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预算项目</w:t>
            </w:r>
          </w:p>
        </w:tc>
        <w:tc>
          <w:tcPr>
            <w:tcW w:w="182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3625A08C">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预算可用指标</w:t>
            </w:r>
          </w:p>
        </w:tc>
        <w:tc>
          <w:tcPr>
            <w:tcW w:w="1724" w:type="dxa"/>
            <w:tcBorders>
              <w:top w:val="single" w:color="000000" w:sz="8" w:space="0"/>
              <w:left w:val="nil"/>
              <w:bottom w:val="single" w:color="000000" w:sz="8" w:space="0"/>
              <w:right w:val="single" w:color="auto" w:sz="4" w:space="0"/>
            </w:tcBorders>
            <w:tcMar>
              <w:top w:w="0" w:type="dxa"/>
              <w:left w:w="108" w:type="dxa"/>
              <w:bottom w:w="0" w:type="dxa"/>
              <w:right w:w="108" w:type="dxa"/>
            </w:tcMar>
            <w:vAlign w:val="center"/>
          </w:tcPr>
          <w:p w14:paraId="0D2C794C">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决算支出</w:t>
            </w:r>
          </w:p>
        </w:tc>
        <w:tc>
          <w:tcPr>
            <w:tcW w:w="2238" w:type="dxa"/>
            <w:tcBorders>
              <w:top w:val="single" w:color="000000" w:sz="8" w:space="0"/>
              <w:left w:val="single" w:color="auto" w:sz="4" w:space="0"/>
              <w:bottom w:val="single" w:color="000000" w:sz="8" w:space="0"/>
              <w:right w:val="single" w:color="000000" w:sz="8" w:space="0"/>
            </w:tcBorders>
            <w:tcMar>
              <w:top w:w="0" w:type="dxa"/>
              <w:left w:w="108" w:type="dxa"/>
              <w:bottom w:w="0" w:type="dxa"/>
              <w:right w:w="108" w:type="dxa"/>
            </w:tcMar>
            <w:vAlign w:val="center"/>
          </w:tcPr>
          <w:p w14:paraId="02D2D98B">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差额（预算可用指标-决算）</w:t>
            </w:r>
          </w:p>
        </w:tc>
      </w:tr>
      <w:tr w14:paraId="1E8DA3F7">
        <w:tblPrEx>
          <w:tblCellMar>
            <w:top w:w="0" w:type="dxa"/>
            <w:left w:w="0" w:type="dxa"/>
            <w:bottom w:w="0" w:type="dxa"/>
            <w:right w:w="0" w:type="dxa"/>
          </w:tblCellMar>
        </w:tblPrEx>
        <w:trPr>
          <w:trHeight w:val="400" w:hRule="exact"/>
          <w:jc w:val="center"/>
        </w:trPr>
        <w:tc>
          <w:tcPr>
            <w:tcW w:w="316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0D9547C8">
            <w:pPr>
              <w:widowControl/>
              <w:adjustRightInd w:val="0"/>
              <w:snapToGrid w:val="0"/>
              <w:rPr>
                <w:rFonts w:ascii="仿宋_GB2312" w:hAnsi="仿宋_GB2312" w:eastAsia="仿宋_GB2312" w:cs="仿宋_GB2312"/>
                <w:bCs/>
                <w:kern w:val="0"/>
                <w:sz w:val="24"/>
              </w:rPr>
            </w:pPr>
            <w:r>
              <w:rPr>
                <w:rFonts w:hint="eastAsia" w:ascii="仿宋_GB2312" w:hAnsi="仿宋_GB2312" w:eastAsia="仿宋_GB2312" w:cs="仿宋_GB2312"/>
                <w:bCs/>
                <w:kern w:val="0"/>
                <w:sz w:val="24"/>
              </w:rPr>
              <w:t>工资福利支出</w:t>
            </w:r>
          </w:p>
        </w:tc>
        <w:tc>
          <w:tcPr>
            <w:tcW w:w="1820"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1EF80CC">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1498.28</w:t>
            </w:r>
          </w:p>
        </w:tc>
        <w:tc>
          <w:tcPr>
            <w:tcW w:w="1724" w:type="dxa"/>
            <w:tcBorders>
              <w:top w:val="nil"/>
              <w:left w:val="nil"/>
              <w:bottom w:val="single" w:color="000000" w:sz="8" w:space="0"/>
              <w:right w:val="single" w:color="auto" w:sz="4" w:space="0"/>
            </w:tcBorders>
            <w:tcMar>
              <w:top w:w="0" w:type="dxa"/>
              <w:left w:w="108" w:type="dxa"/>
              <w:bottom w:w="0" w:type="dxa"/>
              <w:right w:w="108" w:type="dxa"/>
            </w:tcMar>
            <w:vAlign w:val="center"/>
          </w:tcPr>
          <w:p w14:paraId="0D88E4AA">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1498.28</w:t>
            </w:r>
          </w:p>
        </w:tc>
        <w:tc>
          <w:tcPr>
            <w:tcW w:w="2238" w:type="dxa"/>
            <w:tcBorders>
              <w:top w:val="nil"/>
              <w:left w:val="single" w:color="auto" w:sz="4" w:space="0"/>
              <w:bottom w:val="single" w:color="000000" w:sz="8" w:space="0"/>
              <w:right w:val="single" w:color="000000" w:sz="8" w:space="0"/>
            </w:tcBorders>
            <w:tcMar>
              <w:top w:w="0" w:type="dxa"/>
              <w:left w:w="108" w:type="dxa"/>
              <w:bottom w:w="0" w:type="dxa"/>
              <w:right w:w="108" w:type="dxa"/>
            </w:tcMar>
            <w:vAlign w:val="center"/>
          </w:tcPr>
          <w:p w14:paraId="0863ED95">
            <w:pPr>
              <w:widowControl/>
              <w:adjustRightInd w:val="0"/>
              <w:snapToGrid w:val="0"/>
              <w:rPr>
                <w:rFonts w:ascii="仿宋_GB2312" w:hAnsi="仿宋_GB2312" w:eastAsia="仿宋_GB2312" w:cs="仿宋_GB2312"/>
                <w:bCs/>
                <w:kern w:val="0"/>
                <w:sz w:val="24"/>
              </w:rPr>
            </w:pPr>
          </w:p>
        </w:tc>
      </w:tr>
      <w:tr w14:paraId="4CEBCDD6">
        <w:tblPrEx>
          <w:tblCellMar>
            <w:top w:w="0" w:type="dxa"/>
            <w:left w:w="0" w:type="dxa"/>
            <w:bottom w:w="0" w:type="dxa"/>
            <w:right w:w="0" w:type="dxa"/>
          </w:tblCellMar>
        </w:tblPrEx>
        <w:trPr>
          <w:trHeight w:val="401" w:hRule="exact"/>
          <w:jc w:val="center"/>
        </w:trPr>
        <w:tc>
          <w:tcPr>
            <w:tcW w:w="316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7A744BD3">
            <w:pPr>
              <w:widowControl/>
              <w:adjustRightInd w:val="0"/>
              <w:snapToGrid w:val="0"/>
              <w:rPr>
                <w:rFonts w:ascii="仿宋_GB2312" w:hAnsi="仿宋_GB2312" w:eastAsia="仿宋_GB2312" w:cs="仿宋_GB2312"/>
                <w:bCs/>
                <w:kern w:val="0"/>
                <w:sz w:val="24"/>
              </w:rPr>
            </w:pPr>
            <w:r>
              <w:rPr>
                <w:rFonts w:hint="eastAsia" w:ascii="仿宋_GB2312" w:hAnsi="仿宋_GB2312" w:eastAsia="仿宋_GB2312" w:cs="仿宋_GB2312"/>
                <w:bCs/>
                <w:kern w:val="0"/>
                <w:sz w:val="24"/>
              </w:rPr>
              <w:t>商品和服务支出</w:t>
            </w:r>
          </w:p>
        </w:tc>
        <w:tc>
          <w:tcPr>
            <w:tcW w:w="1820"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5AC03C7">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590.96</w:t>
            </w:r>
          </w:p>
        </w:tc>
        <w:tc>
          <w:tcPr>
            <w:tcW w:w="1724" w:type="dxa"/>
            <w:tcBorders>
              <w:top w:val="nil"/>
              <w:left w:val="nil"/>
              <w:bottom w:val="single" w:color="000000" w:sz="8" w:space="0"/>
              <w:right w:val="single" w:color="auto" w:sz="4" w:space="0"/>
            </w:tcBorders>
            <w:tcMar>
              <w:top w:w="0" w:type="dxa"/>
              <w:left w:w="108" w:type="dxa"/>
              <w:bottom w:w="0" w:type="dxa"/>
              <w:right w:w="108" w:type="dxa"/>
            </w:tcMar>
            <w:vAlign w:val="center"/>
          </w:tcPr>
          <w:p w14:paraId="4212CE4A">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590.96</w:t>
            </w:r>
          </w:p>
        </w:tc>
        <w:tc>
          <w:tcPr>
            <w:tcW w:w="2238" w:type="dxa"/>
            <w:tcBorders>
              <w:top w:val="nil"/>
              <w:left w:val="single" w:color="auto" w:sz="4" w:space="0"/>
              <w:bottom w:val="single" w:color="000000" w:sz="8" w:space="0"/>
              <w:right w:val="single" w:color="000000" w:sz="8" w:space="0"/>
            </w:tcBorders>
            <w:tcMar>
              <w:top w:w="0" w:type="dxa"/>
              <w:left w:w="108" w:type="dxa"/>
              <w:bottom w:w="0" w:type="dxa"/>
              <w:right w:w="108" w:type="dxa"/>
            </w:tcMar>
            <w:vAlign w:val="center"/>
          </w:tcPr>
          <w:p w14:paraId="4F8C395D">
            <w:pPr>
              <w:widowControl/>
              <w:adjustRightInd w:val="0"/>
              <w:snapToGrid w:val="0"/>
              <w:rPr>
                <w:rFonts w:ascii="仿宋_GB2312" w:hAnsi="仿宋_GB2312" w:eastAsia="仿宋_GB2312" w:cs="仿宋_GB2312"/>
                <w:bCs/>
                <w:kern w:val="0"/>
                <w:sz w:val="24"/>
              </w:rPr>
            </w:pPr>
          </w:p>
        </w:tc>
      </w:tr>
      <w:tr w14:paraId="151A9D11">
        <w:tblPrEx>
          <w:tblCellMar>
            <w:top w:w="0" w:type="dxa"/>
            <w:left w:w="0" w:type="dxa"/>
            <w:bottom w:w="0" w:type="dxa"/>
            <w:right w:w="0" w:type="dxa"/>
          </w:tblCellMar>
        </w:tblPrEx>
        <w:trPr>
          <w:trHeight w:val="453" w:hRule="exact"/>
          <w:jc w:val="center"/>
        </w:trPr>
        <w:tc>
          <w:tcPr>
            <w:tcW w:w="316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268DB80A">
            <w:pPr>
              <w:widowControl/>
              <w:adjustRightInd w:val="0"/>
              <w:snapToGrid w:val="0"/>
              <w:rPr>
                <w:rFonts w:ascii="仿宋_GB2312" w:hAnsi="仿宋_GB2312" w:eastAsia="仿宋_GB2312" w:cs="仿宋_GB2312"/>
                <w:bCs/>
                <w:kern w:val="0"/>
                <w:sz w:val="24"/>
              </w:rPr>
            </w:pPr>
            <w:r>
              <w:rPr>
                <w:rFonts w:hint="eastAsia" w:ascii="仿宋_GB2312" w:hAnsi="仿宋_GB2312" w:eastAsia="仿宋_GB2312" w:cs="仿宋_GB2312"/>
                <w:bCs/>
                <w:kern w:val="0"/>
                <w:sz w:val="24"/>
              </w:rPr>
              <w:t>其中：三公经费</w:t>
            </w:r>
          </w:p>
        </w:tc>
        <w:tc>
          <w:tcPr>
            <w:tcW w:w="1820"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F35E2A8">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0</w:t>
            </w:r>
          </w:p>
        </w:tc>
        <w:tc>
          <w:tcPr>
            <w:tcW w:w="1724" w:type="dxa"/>
            <w:tcBorders>
              <w:top w:val="nil"/>
              <w:left w:val="nil"/>
              <w:bottom w:val="single" w:color="000000" w:sz="8" w:space="0"/>
              <w:right w:val="single" w:color="auto" w:sz="4" w:space="0"/>
            </w:tcBorders>
            <w:tcMar>
              <w:top w:w="0" w:type="dxa"/>
              <w:left w:w="108" w:type="dxa"/>
              <w:bottom w:w="0" w:type="dxa"/>
              <w:right w:w="108" w:type="dxa"/>
            </w:tcMar>
            <w:vAlign w:val="center"/>
          </w:tcPr>
          <w:p w14:paraId="2BCAFB10">
            <w:pPr>
              <w:widowControl/>
              <w:adjustRightInd w:val="0"/>
              <w:snapToGrid w:val="0"/>
              <w:jc w:val="center"/>
              <w:rPr>
                <w:rFonts w:ascii="仿宋_GB2312" w:hAnsi="仿宋_GB2312" w:eastAsia="仿宋_GB2312" w:cs="仿宋_GB2312"/>
                <w:bCs/>
                <w:kern w:val="0"/>
                <w:sz w:val="24"/>
              </w:rPr>
            </w:pPr>
          </w:p>
        </w:tc>
        <w:tc>
          <w:tcPr>
            <w:tcW w:w="2238" w:type="dxa"/>
            <w:tcBorders>
              <w:top w:val="nil"/>
              <w:left w:val="single" w:color="auto" w:sz="4" w:space="0"/>
              <w:bottom w:val="single" w:color="000000" w:sz="8" w:space="0"/>
              <w:right w:val="single" w:color="000000" w:sz="8" w:space="0"/>
            </w:tcBorders>
            <w:tcMar>
              <w:top w:w="0" w:type="dxa"/>
              <w:left w:w="108" w:type="dxa"/>
              <w:bottom w:w="0" w:type="dxa"/>
              <w:right w:w="108" w:type="dxa"/>
            </w:tcMar>
            <w:vAlign w:val="center"/>
          </w:tcPr>
          <w:p w14:paraId="506E590A">
            <w:pPr>
              <w:widowControl/>
              <w:adjustRightInd w:val="0"/>
              <w:snapToGrid w:val="0"/>
              <w:rPr>
                <w:rFonts w:ascii="仿宋_GB2312" w:hAnsi="仿宋_GB2312" w:eastAsia="仿宋_GB2312" w:cs="仿宋_GB2312"/>
                <w:bCs/>
                <w:kern w:val="0"/>
                <w:sz w:val="24"/>
              </w:rPr>
            </w:pPr>
          </w:p>
        </w:tc>
      </w:tr>
      <w:tr w14:paraId="6EACB35A">
        <w:tblPrEx>
          <w:tblCellMar>
            <w:top w:w="0" w:type="dxa"/>
            <w:left w:w="0" w:type="dxa"/>
            <w:bottom w:w="0" w:type="dxa"/>
            <w:right w:w="0" w:type="dxa"/>
          </w:tblCellMar>
        </w:tblPrEx>
        <w:trPr>
          <w:trHeight w:val="310" w:hRule="exact"/>
          <w:jc w:val="center"/>
        </w:trPr>
        <w:tc>
          <w:tcPr>
            <w:tcW w:w="316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6F078931">
            <w:pPr>
              <w:widowControl/>
              <w:adjustRightInd w:val="0"/>
              <w:snapToGrid w:val="0"/>
              <w:rPr>
                <w:rFonts w:ascii="仿宋_GB2312" w:hAnsi="仿宋_GB2312" w:eastAsia="仿宋_GB2312" w:cs="仿宋_GB2312"/>
                <w:bCs/>
                <w:kern w:val="0"/>
                <w:sz w:val="24"/>
              </w:rPr>
            </w:pPr>
            <w:r>
              <w:rPr>
                <w:rFonts w:hint="eastAsia" w:ascii="仿宋_GB2312" w:hAnsi="仿宋_GB2312" w:eastAsia="仿宋_GB2312" w:cs="仿宋_GB2312"/>
                <w:bCs/>
                <w:kern w:val="0"/>
                <w:sz w:val="24"/>
              </w:rPr>
              <w:t>对个人和家庭补助</w:t>
            </w:r>
          </w:p>
        </w:tc>
        <w:tc>
          <w:tcPr>
            <w:tcW w:w="1820"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E179BC8">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38.15</w:t>
            </w:r>
          </w:p>
        </w:tc>
        <w:tc>
          <w:tcPr>
            <w:tcW w:w="1724" w:type="dxa"/>
            <w:tcBorders>
              <w:top w:val="nil"/>
              <w:left w:val="nil"/>
              <w:bottom w:val="single" w:color="000000" w:sz="8" w:space="0"/>
              <w:right w:val="single" w:color="auto" w:sz="4" w:space="0"/>
            </w:tcBorders>
            <w:tcMar>
              <w:top w:w="0" w:type="dxa"/>
              <w:left w:w="108" w:type="dxa"/>
              <w:bottom w:w="0" w:type="dxa"/>
              <w:right w:w="108" w:type="dxa"/>
            </w:tcMar>
            <w:vAlign w:val="center"/>
          </w:tcPr>
          <w:p w14:paraId="4ECEB4BE">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38.15</w:t>
            </w:r>
          </w:p>
        </w:tc>
        <w:tc>
          <w:tcPr>
            <w:tcW w:w="2238" w:type="dxa"/>
            <w:tcBorders>
              <w:top w:val="nil"/>
              <w:left w:val="single" w:color="auto" w:sz="4" w:space="0"/>
              <w:bottom w:val="single" w:color="000000" w:sz="8" w:space="0"/>
              <w:right w:val="single" w:color="000000" w:sz="8" w:space="0"/>
            </w:tcBorders>
            <w:tcMar>
              <w:top w:w="0" w:type="dxa"/>
              <w:left w:w="108" w:type="dxa"/>
              <w:bottom w:w="0" w:type="dxa"/>
              <w:right w:w="108" w:type="dxa"/>
            </w:tcMar>
            <w:vAlign w:val="center"/>
          </w:tcPr>
          <w:p w14:paraId="6D874EFD">
            <w:pPr>
              <w:widowControl/>
              <w:adjustRightInd w:val="0"/>
              <w:snapToGrid w:val="0"/>
              <w:rPr>
                <w:rFonts w:ascii="仿宋_GB2312" w:hAnsi="仿宋_GB2312" w:eastAsia="仿宋_GB2312" w:cs="仿宋_GB2312"/>
                <w:bCs/>
                <w:kern w:val="0"/>
                <w:sz w:val="24"/>
              </w:rPr>
            </w:pPr>
          </w:p>
        </w:tc>
      </w:tr>
      <w:tr w14:paraId="6D1B0680">
        <w:tblPrEx>
          <w:tblCellMar>
            <w:top w:w="0" w:type="dxa"/>
            <w:left w:w="0" w:type="dxa"/>
            <w:bottom w:w="0" w:type="dxa"/>
            <w:right w:w="0" w:type="dxa"/>
          </w:tblCellMar>
        </w:tblPrEx>
        <w:trPr>
          <w:trHeight w:val="282" w:hRule="exact"/>
          <w:jc w:val="center"/>
        </w:trPr>
        <w:tc>
          <w:tcPr>
            <w:tcW w:w="316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5D1DDEE1">
            <w:pPr>
              <w:widowControl/>
              <w:adjustRightInd w:val="0"/>
              <w:snapToGrid w:val="0"/>
              <w:rPr>
                <w:rFonts w:ascii="仿宋_GB2312" w:hAnsi="仿宋_GB2312" w:eastAsia="仿宋_GB2312" w:cs="仿宋_GB2312"/>
                <w:bCs/>
                <w:kern w:val="0"/>
                <w:sz w:val="24"/>
              </w:rPr>
            </w:pPr>
            <w:r>
              <w:rPr>
                <w:rFonts w:hint="eastAsia" w:ascii="仿宋_GB2312" w:hAnsi="仿宋_GB2312" w:eastAsia="仿宋_GB2312" w:cs="仿宋_GB2312"/>
                <w:bCs/>
                <w:kern w:val="0"/>
                <w:sz w:val="24"/>
              </w:rPr>
              <w:t>资本性支出</w:t>
            </w:r>
          </w:p>
        </w:tc>
        <w:tc>
          <w:tcPr>
            <w:tcW w:w="1820"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CA36FC5">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9.5</w:t>
            </w:r>
          </w:p>
        </w:tc>
        <w:tc>
          <w:tcPr>
            <w:tcW w:w="1724" w:type="dxa"/>
            <w:tcBorders>
              <w:top w:val="nil"/>
              <w:left w:val="nil"/>
              <w:bottom w:val="single" w:color="000000" w:sz="8" w:space="0"/>
              <w:right w:val="single" w:color="auto" w:sz="4" w:space="0"/>
            </w:tcBorders>
            <w:tcMar>
              <w:top w:w="0" w:type="dxa"/>
              <w:left w:w="108" w:type="dxa"/>
              <w:bottom w:w="0" w:type="dxa"/>
              <w:right w:w="108" w:type="dxa"/>
            </w:tcMar>
            <w:vAlign w:val="center"/>
          </w:tcPr>
          <w:p w14:paraId="48430302">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9.50</w:t>
            </w:r>
          </w:p>
        </w:tc>
        <w:tc>
          <w:tcPr>
            <w:tcW w:w="2238" w:type="dxa"/>
            <w:tcBorders>
              <w:top w:val="nil"/>
              <w:left w:val="single" w:color="auto" w:sz="4" w:space="0"/>
              <w:bottom w:val="single" w:color="000000" w:sz="8" w:space="0"/>
              <w:right w:val="single" w:color="000000" w:sz="8" w:space="0"/>
            </w:tcBorders>
            <w:tcMar>
              <w:top w:w="0" w:type="dxa"/>
              <w:left w:w="108" w:type="dxa"/>
              <w:bottom w:w="0" w:type="dxa"/>
              <w:right w:w="108" w:type="dxa"/>
            </w:tcMar>
            <w:vAlign w:val="center"/>
          </w:tcPr>
          <w:p w14:paraId="7B57C634">
            <w:pPr>
              <w:widowControl/>
              <w:adjustRightInd w:val="0"/>
              <w:snapToGrid w:val="0"/>
              <w:jc w:val="center"/>
              <w:rPr>
                <w:rFonts w:ascii="仿宋_GB2312" w:hAnsi="仿宋_GB2312" w:eastAsia="仿宋_GB2312" w:cs="仿宋_GB2312"/>
                <w:bCs/>
                <w:kern w:val="0"/>
                <w:sz w:val="24"/>
              </w:rPr>
            </w:pPr>
          </w:p>
        </w:tc>
      </w:tr>
      <w:tr w14:paraId="550C5FDC">
        <w:tblPrEx>
          <w:tblCellMar>
            <w:top w:w="0" w:type="dxa"/>
            <w:left w:w="0" w:type="dxa"/>
            <w:bottom w:w="0" w:type="dxa"/>
            <w:right w:w="0" w:type="dxa"/>
          </w:tblCellMar>
        </w:tblPrEx>
        <w:trPr>
          <w:trHeight w:val="336" w:hRule="exact"/>
          <w:jc w:val="center"/>
        </w:trPr>
        <w:tc>
          <w:tcPr>
            <w:tcW w:w="316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20E620D3">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合 计</w:t>
            </w:r>
          </w:p>
        </w:tc>
        <w:tc>
          <w:tcPr>
            <w:tcW w:w="1820"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57D3139">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2136.89</w:t>
            </w:r>
          </w:p>
        </w:tc>
        <w:tc>
          <w:tcPr>
            <w:tcW w:w="1724" w:type="dxa"/>
            <w:tcBorders>
              <w:top w:val="nil"/>
              <w:left w:val="nil"/>
              <w:bottom w:val="single" w:color="000000" w:sz="8" w:space="0"/>
              <w:right w:val="single" w:color="auto" w:sz="4" w:space="0"/>
            </w:tcBorders>
            <w:tcMar>
              <w:top w:w="0" w:type="dxa"/>
              <w:left w:w="108" w:type="dxa"/>
              <w:bottom w:w="0" w:type="dxa"/>
              <w:right w:w="108" w:type="dxa"/>
            </w:tcMar>
            <w:vAlign w:val="center"/>
          </w:tcPr>
          <w:p w14:paraId="7B4E5FCD">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2136.89</w:t>
            </w:r>
          </w:p>
        </w:tc>
        <w:tc>
          <w:tcPr>
            <w:tcW w:w="2238" w:type="dxa"/>
            <w:tcBorders>
              <w:top w:val="nil"/>
              <w:left w:val="single" w:color="auto" w:sz="4" w:space="0"/>
              <w:bottom w:val="single" w:color="000000" w:sz="8" w:space="0"/>
              <w:right w:val="single" w:color="000000" w:sz="8" w:space="0"/>
            </w:tcBorders>
            <w:tcMar>
              <w:top w:w="0" w:type="dxa"/>
              <w:left w:w="108" w:type="dxa"/>
              <w:bottom w:w="0" w:type="dxa"/>
              <w:right w:w="108" w:type="dxa"/>
            </w:tcMar>
            <w:vAlign w:val="center"/>
          </w:tcPr>
          <w:p w14:paraId="2C5FA59B">
            <w:pPr>
              <w:widowControl/>
              <w:adjustRightInd w:val="0"/>
              <w:snapToGrid w:val="0"/>
              <w:jc w:val="center"/>
              <w:rPr>
                <w:rFonts w:ascii="仿宋_GB2312" w:hAnsi="仿宋_GB2312" w:eastAsia="仿宋_GB2312" w:cs="仿宋_GB2312"/>
                <w:bCs/>
                <w:kern w:val="0"/>
                <w:sz w:val="24"/>
              </w:rPr>
            </w:pPr>
          </w:p>
        </w:tc>
      </w:tr>
    </w:tbl>
    <w:p w14:paraId="24478031">
      <w:pPr>
        <w:spacing w:line="600" w:lineRule="exact"/>
        <w:ind w:firstLine="600" w:firstLineChars="200"/>
        <w:rPr>
          <w:rFonts w:ascii="仿宋" w:hAnsi="仿宋" w:eastAsia="仿宋" w:cs="仿宋"/>
          <w:b/>
          <w:sz w:val="30"/>
          <w:szCs w:val="30"/>
        </w:rPr>
      </w:pPr>
      <w:r>
        <w:rPr>
          <w:rFonts w:hint="eastAsia" w:ascii="仿宋" w:hAnsi="仿宋" w:eastAsia="仿宋" w:cs="仿宋"/>
          <w:sz w:val="30"/>
          <w:szCs w:val="30"/>
        </w:rPr>
        <w:t>各项费用开支的审批程序符合财务管理制度的要求。</w:t>
      </w:r>
    </w:p>
    <w:p w14:paraId="74991F72">
      <w:pPr>
        <w:pStyle w:val="11"/>
        <w:adjustRightInd w:val="0"/>
        <w:snapToGrid w:val="0"/>
        <w:spacing w:line="600" w:lineRule="exact"/>
        <w:ind w:firstLine="600"/>
        <w:rPr>
          <w:rFonts w:ascii="仿宋" w:hAnsi="仿宋" w:eastAsia="仿宋" w:cs="仿宋"/>
          <w:sz w:val="30"/>
          <w:szCs w:val="30"/>
        </w:rPr>
      </w:pPr>
      <w:r>
        <w:rPr>
          <w:rFonts w:hint="eastAsia" w:ascii="仿宋" w:hAnsi="仿宋" w:eastAsia="仿宋" w:cs="仿宋"/>
          <w:sz w:val="30"/>
          <w:szCs w:val="30"/>
        </w:rPr>
        <w:t>3.“三公”经费使用管理情况</w:t>
      </w:r>
    </w:p>
    <w:p w14:paraId="7095FD88">
      <w:pPr>
        <w:widowControl/>
        <w:spacing w:line="600" w:lineRule="exact"/>
        <w:ind w:firstLine="602" w:firstLineChars="200"/>
        <w:rPr>
          <w:rFonts w:ascii="仿宋" w:hAnsi="仿宋" w:eastAsia="仿宋" w:cs="仿宋"/>
          <w:sz w:val="30"/>
          <w:szCs w:val="30"/>
        </w:rPr>
      </w:pPr>
      <w:r>
        <w:rPr>
          <w:rFonts w:hint="eastAsia" w:ascii="仿宋" w:hAnsi="仿宋" w:eastAsia="仿宋" w:cs="仿宋"/>
          <w:b/>
          <w:sz w:val="30"/>
          <w:szCs w:val="30"/>
        </w:rPr>
        <w:tab/>
      </w:r>
      <w:r>
        <w:rPr>
          <w:rFonts w:hint="eastAsia" w:ascii="仿宋" w:hAnsi="仿宋" w:eastAsia="仿宋" w:cs="仿宋"/>
          <w:sz w:val="30"/>
          <w:szCs w:val="30"/>
        </w:rPr>
        <w:t>2021年度赫山区自然资源局“三公经费”支出预算0万元，决算支出 0万元，比预算减少0万元，减少0%；比上年同期减少 0万元，减幅 0 %。</w:t>
      </w:r>
    </w:p>
    <w:p w14:paraId="5F41209B">
      <w:pPr>
        <w:tabs>
          <w:tab w:val="left" w:pos="443"/>
        </w:tabs>
        <w:spacing w:line="480" w:lineRule="exact"/>
        <w:jc w:val="center"/>
        <w:rPr>
          <w:rFonts w:ascii="仿宋" w:hAnsi="仿宋" w:eastAsia="仿宋" w:cs="仿宋"/>
          <w:b/>
          <w:sz w:val="30"/>
          <w:szCs w:val="30"/>
        </w:rPr>
      </w:pPr>
      <w:r>
        <w:rPr>
          <w:rFonts w:hint="eastAsia" w:ascii="仿宋" w:hAnsi="仿宋" w:eastAsia="仿宋" w:cs="仿宋"/>
          <w:bCs/>
          <w:sz w:val="30"/>
          <w:szCs w:val="30"/>
        </w:rPr>
        <w:t>2021年度部门 “三公”经费情况（万元）</w:t>
      </w:r>
    </w:p>
    <w:p w14:paraId="7D9F3995">
      <w:pPr>
        <w:pStyle w:val="7"/>
      </w:pPr>
    </w:p>
    <w:tbl>
      <w:tblPr>
        <w:tblStyle w:val="8"/>
        <w:tblW w:w="9414" w:type="dxa"/>
        <w:tblInd w:w="0" w:type="dxa"/>
        <w:tblLayout w:type="fixed"/>
        <w:tblCellMar>
          <w:top w:w="0" w:type="dxa"/>
          <w:left w:w="108" w:type="dxa"/>
          <w:bottom w:w="0" w:type="dxa"/>
          <w:right w:w="108" w:type="dxa"/>
        </w:tblCellMar>
      </w:tblPr>
      <w:tblGrid>
        <w:gridCol w:w="2386"/>
        <w:gridCol w:w="1080"/>
        <w:gridCol w:w="1395"/>
        <w:gridCol w:w="1615"/>
        <w:gridCol w:w="1209"/>
        <w:gridCol w:w="866"/>
        <w:gridCol w:w="863"/>
      </w:tblGrid>
      <w:tr w14:paraId="43CE74E3">
        <w:trPr>
          <w:trHeight w:val="647" w:hRule="exact"/>
        </w:trPr>
        <w:tc>
          <w:tcPr>
            <w:tcW w:w="2386" w:type="dxa"/>
            <w:tcBorders>
              <w:top w:val="single" w:color="auto" w:sz="8" w:space="0"/>
              <w:left w:val="single" w:color="auto" w:sz="8" w:space="0"/>
              <w:bottom w:val="single" w:color="auto" w:sz="8" w:space="0"/>
              <w:right w:val="single" w:color="auto" w:sz="8" w:space="0"/>
            </w:tcBorders>
            <w:vAlign w:val="center"/>
          </w:tcPr>
          <w:p w14:paraId="179C4551">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项目</w:t>
            </w:r>
          </w:p>
        </w:tc>
        <w:tc>
          <w:tcPr>
            <w:tcW w:w="1080" w:type="dxa"/>
            <w:tcBorders>
              <w:top w:val="single" w:color="auto" w:sz="8" w:space="0"/>
              <w:left w:val="single" w:color="auto" w:sz="8" w:space="0"/>
              <w:bottom w:val="single" w:color="auto" w:sz="8" w:space="0"/>
              <w:right w:val="single" w:color="auto" w:sz="8" w:space="0"/>
            </w:tcBorders>
            <w:vAlign w:val="center"/>
          </w:tcPr>
          <w:p w14:paraId="2004C474">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2021年预算数</w:t>
            </w:r>
          </w:p>
        </w:tc>
        <w:tc>
          <w:tcPr>
            <w:tcW w:w="1395" w:type="dxa"/>
            <w:tcBorders>
              <w:top w:val="single" w:color="auto" w:sz="8" w:space="0"/>
              <w:left w:val="single" w:color="auto" w:sz="8" w:space="0"/>
              <w:bottom w:val="single" w:color="auto" w:sz="8" w:space="0"/>
              <w:right w:val="single" w:color="auto" w:sz="8" w:space="0"/>
            </w:tcBorders>
            <w:vAlign w:val="center"/>
          </w:tcPr>
          <w:p w14:paraId="1FD47918">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2021年决算数</w:t>
            </w:r>
          </w:p>
        </w:tc>
        <w:tc>
          <w:tcPr>
            <w:tcW w:w="1615" w:type="dxa"/>
            <w:tcBorders>
              <w:top w:val="single" w:color="auto" w:sz="8" w:space="0"/>
              <w:left w:val="single" w:color="auto" w:sz="8" w:space="0"/>
              <w:bottom w:val="single" w:color="auto" w:sz="8" w:space="0"/>
              <w:right w:val="single" w:color="auto" w:sz="8" w:space="0"/>
            </w:tcBorders>
            <w:vAlign w:val="center"/>
          </w:tcPr>
          <w:p w14:paraId="5E6273BF">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决算比预算增减数</w:t>
            </w:r>
          </w:p>
        </w:tc>
        <w:tc>
          <w:tcPr>
            <w:tcW w:w="1209" w:type="dxa"/>
            <w:tcBorders>
              <w:top w:val="single" w:color="auto" w:sz="8" w:space="0"/>
              <w:left w:val="single" w:color="auto" w:sz="8" w:space="0"/>
              <w:bottom w:val="single" w:color="auto" w:sz="8" w:space="0"/>
              <w:right w:val="single" w:color="auto" w:sz="8" w:space="0"/>
            </w:tcBorders>
            <w:vAlign w:val="center"/>
          </w:tcPr>
          <w:p w14:paraId="58F1FB11">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2020年决算数</w:t>
            </w:r>
          </w:p>
        </w:tc>
        <w:tc>
          <w:tcPr>
            <w:tcW w:w="866" w:type="dxa"/>
            <w:tcBorders>
              <w:top w:val="single" w:color="auto" w:sz="8" w:space="0"/>
              <w:left w:val="single" w:color="auto" w:sz="8" w:space="0"/>
              <w:bottom w:val="single" w:color="auto" w:sz="8" w:space="0"/>
              <w:right w:val="single" w:color="auto" w:sz="8" w:space="0"/>
            </w:tcBorders>
            <w:vAlign w:val="center"/>
          </w:tcPr>
          <w:p w14:paraId="4B7CF515">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比上年增减数</w:t>
            </w:r>
          </w:p>
        </w:tc>
        <w:tc>
          <w:tcPr>
            <w:tcW w:w="863" w:type="dxa"/>
            <w:tcBorders>
              <w:top w:val="single" w:color="auto" w:sz="8" w:space="0"/>
              <w:left w:val="single" w:color="auto" w:sz="8" w:space="0"/>
              <w:bottom w:val="single" w:color="auto" w:sz="8" w:space="0"/>
              <w:right w:val="single" w:color="auto" w:sz="8" w:space="0"/>
            </w:tcBorders>
            <w:vAlign w:val="center"/>
          </w:tcPr>
          <w:p w14:paraId="21937456">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增减%</w:t>
            </w:r>
          </w:p>
        </w:tc>
      </w:tr>
      <w:tr w14:paraId="7E6BAF65">
        <w:tblPrEx>
          <w:tblCellMar>
            <w:top w:w="0" w:type="dxa"/>
            <w:left w:w="108" w:type="dxa"/>
            <w:bottom w:w="0" w:type="dxa"/>
            <w:right w:w="108" w:type="dxa"/>
          </w:tblCellMar>
        </w:tblPrEx>
        <w:trPr>
          <w:trHeight w:val="454" w:hRule="exact"/>
        </w:trPr>
        <w:tc>
          <w:tcPr>
            <w:tcW w:w="2386" w:type="dxa"/>
            <w:tcBorders>
              <w:top w:val="single" w:color="auto" w:sz="8" w:space="0"/>
              <w:left w:val="single" w:color="auto" w:sz="8" w:space="0"/>
              <w:bottom w:val="single" w:color="auto" w:sz="8" w:space="0"/>
              <w:right w:val="single" w:color="auto" w:sz="8" w:space="0"/>
            </w:tcBorders>
            <w:vAlign w:val="center"/>
          </w:tcPr>
          <w:p w14:paraId="7A562CC9">
            <w:pPr>
              <w:widowControl/>
              <w:rPr>
                <w:rFonts w:ascii="仿宋_GB2312" w:hAnsi="仿宋_GB2312" w:eastAsia="仿宋_GB2312" w:cs="仿宋_GB2312"/>
                <w:color w:val="000000"/>
                <w:kern w:val="0"/>
                <w:sz w:val="24"/>
              </w:rPr>
            </w:pPr>
            <w:r>
              <w:rPr>
                <w:rFonts w:hint="eastAsia" w:ascii="仿宋_GB2312" w:hAnsi="仿宋_GB2312" w:eastAsia="仿宋_GB2312" w:cs="仿宋_GB2312"/>
                <w:b/>
                <w:bCs/>
                <w:color w:val="000000"/>
                <w:kern w:val="0"/>
                <w:sz w:val="24"/>
              </w:rPr>
              <w:t>三公经费合计</w:t>
            </w:r>
          </w:p>
        </w:tc>
        <w:tc>
          <w:tcPr>
            <w:tcW w:w="1080" w:type="dxa"/>
            <w:tcBorders>
              <w:top w:val="single" w:color="auto" w:sz="8" w:space="0"/>
              <w:left w:val="single" w:color="auto" w:sz="8" w:space="0"/>
              <w:bottom w:val="single" w:color="auto" w:sz="8" w:space="0"/>
              <w:right w:val="single" w:color="auto" w:sz="8" w:space="0"/>
            </w:tcBorders>
            <w:vAlign w:val="center"/>
          </w:tcPr>
          <w:p w14:paraId="1462EF2B">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395" w:type="dxa"/>
            <w:tcBorders>
              <w:top w:val="single" w:color="auto" w:sz="8" w:space="0"/>
              <w:left w:val="single" w:color="auto" w:sz="8" w:space="0"/>
              <w:bottom w:val="single" w:color="auto" w:sz="8" w:space="0"/>
              <w:right w:val="single" w:color="auto" w:sz="8" w:space="0"/>
            </w:tcBorders>
            <w:vAlign w:val="center"/>
          </w:tcPr>
          <w:p w14:paraId="68595739">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615" w:type="dxa"/>
            <w:tcBorders>
              <w:top w:val="single" w:color="auto" w:sz="8" w:space="0"/>
              <w:left w:val="single" w:color="auto" w:sz="8" w:space="0"/>
              <w:bottom w:val="single" w:color="auto" w:sz="8" w:space="0"/>
              <w:right w:val="single" w:color="auto" w:sz="8" w:space="0"/>
            </w:tcBorders>
            <w:vAlign w:val="center"/>
          </w:tcPr>
          <w:p w14:paraId="18A5ACCA">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209" w:type="dxa"/>
            <w:tcBorders>
              <w:top w:val="single" w:color="auto" w:sz="8" w:space="0"/>
              <w:left w:val="single" w:color="auto" w:sz="8" w:space="0"/>
              <w:bottom w:val="single" w:color="auto" w:sz="8" w:space="0"/>
              <w:right w:val="single" w:color="auto" w:sz="8" w:space="0"/>
            </w:tcBorders>
            <w:vAlign w:val="center"/>
          </w:tcPr>
          <w:p w14:paraId="31610A18">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866" w:type="dxa"/>
            <w:tcBorders>
              <w:top w:val="single" w:color="auto" w:sz="8" w:space="0"/>
              <w:left w:val="single" w:color="auto" w:sz="8" w:space="0"/>
              <w:bottom w:val="single" w:color="auto" w:sz="8" w:space="0"/>
              <w:right w:val="single" w:color="auto" w:sz="8" w:space="0"/>
            </w:tcBorders>
            <w:vAlign w:val="center"/>
          </w:tcPr>
          <w:p w14:paraId="0CE54C96">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863" w:type="dxa"/>
            <w:tcBorders>
              <w:top w:val="single" w:color="auto" w:sz="8" w:space="0"/>
              <w:left w:val="single" w:color="auto" w:sz="8" w:space="0"/>
              <w:bottom w:val="single" w:color="auto" w:sz="8" w:space="0"/>
              <w:right w:val="single" w:color="auto" w:sz="8" w:space="0"/>
            </w:tcBorders>
            <w:vAlign w:val="center"/>
          </w:tcPr>
          <w:p w14:paraId="4A0793FF">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r>
      <w:tr w14:paraId="11A011B4">
        <w:tblPrEx>
          <w:tblCellMar>
            <w:top w:w="0" w:type="dxa"/>
            <w:left w:w="108" w:type="dxa"/>
            <w:bottom w:w="0" w:type="dxa"/>
            <w:right w:w="108" w:type="dxa"/>
          </w:tblCellMar>
        </w:tblPrEx>
        <w:trPr>
          <w:trHeight w:val="454" w:hRule="exact"/>
        </w:trPr>
        <w:tc>
          <w:tcPr>
            <w:tcW w:w="2386" w:type="dxa"/>
            <w:tcBorders>
              <w:top w:val="single" w:color="auto" w:sz="8" w:space="0"/>
              <w:left w:val="single" w:color="auto" w:sz="8" w:space="0"/>
              <w:bottom w:val="single" w:color="auto" w:sz="8" w:space="0"/>
              <w:right w:val="single" w:color="auto" w:sz="8" w:space="0"/>
            </w:tcBorders>
            <w:vAlign w:val="center"/>
          </w:tcPr>
          <w:p w14:paraId="573AAE06">
            <w:pPr>
              <w:widowControl/>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因公出国经费</w:t>
            </w:r>
          </w:p>
        </w:tc>
        <w:tc>
          <w:tcPr>
            <w:tcW w:w="1080" w:type="dxa"/>
            <w:tcBorders>
              <w:top w:val="single" w:color="auto" w:sz="8" w:space="0"/>
              <w:left w:val="single" w:color="auto" w:sz="8" w:space="0"/>
              <w:bottom w:val="single" w:color="auto" w:sz="8" w:space="0"/>
              <w:right w:val="single" w:color="auto" w:sz="8" w:space="0"/>
            </w:tcBorders>
            <w:vAlign w:val="center"/>
          </w:tcPr>
          <w:p w14:paraId="1F70F42B">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395" w:type="dxa"/>
            <w:tcBorders>
              <w:top w:val="single" w:color="auto" w:sz="8" w:space="0"/>
              <w:left w:val="single" w:color="auto" w:sz="8" w:space="0"/>
              <w:bottom w:val="single" w:color="auto" w:sz="8" w:space="0"/>
              <w:right w:val="single" w:color="auto" w:sz="8" w:space="0"/>
            </w:tcBorders>
            <w:vAlign w:val="center"/>
          </w:tcPr>
          <w:p w14:paraId="55D02A9A">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615" w:type="dxa"/>
            <w:tcBorders>
              <w:top w:val="single" w:color="auto" w:sz="8" w:space="0"/>
              <w:left w:val="single" w:color="auto" w:sz="8" w:space="0"/>
              <w:bottom w:val="single" w:color="auto" w:sz="8" w:space="0"/>
              <w:right w:val="single" w:color="auto" w:sz="8" w:space="0"/>
            </w:tcBorders>
            <w:vAlign w:val="center"/>
          </w:tcPr>
          <w:p w14:paraId="7BD114AB">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209" w:type="dxa"/>
            <w:tcBorders>
              <w:top w:val="single" w:color="auto" w:sz="8" w:space="0"/>
              <w:left w:val="single" w:color="auto" w:sz="8" w:space="0"/>
              <w:bottom w:val="single" w:color="auto" w:sz="8" w:space="0"/>
              <w:right w:val="single" w:color="auto" w:sz="8" w:space="0"/>
            </w:tcBorders>
            <w:vAlign w:val="center"/>
          </w:tcPr>
          <w:p w14:paraId="4EE84B28">
            <w:pPr>
              <w:pStyle w:val="7"/>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0</w:t>
            </w:r>
          </w:p>
        </w:tc>
        <w:tc>
          <w:tcPr>
            <w:tcW w:w="866" w:type="dxa"/>
            <w:tcBorders>
              <w:top w:val="single" w:color="auto" w:sz="8" w:space="0"/>
              <w:left w:val="single" w:color="auto" w:sz="8" w:space="0"/>
              <w:bottom w:val="single" w:color="auto" w:sz="8" w:space="0"/>
              <w:right w:val="single" w:color="auto" w:sz="8" w:space="0"/>
            </w:tcBorders>
            <w:vAlign w:val="center"/>
          </w:tcPr>
          <w:p w14:paraId="5E6D69DE">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863" w:type="dxa"/>
            <w:tcBorders>
              <w:top w:val="single" w:color="auto" w:sz="8" w:space="0"/>
              <w:left w:val="single" w:color="auto" w:sz="8" w:space="0"/>
              <w:bottom w:val="single" w:color="auto" w:sz="8" w:space="0"/>
              <w:right w:val="single" w:color="auto" w:sz="8" w:space="0"/>
            </w:tcBorders>
            <w:vAlign w:val="center"/>
          </w:tcPr>
          <w:p w14:paraId="22B38FB5">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r>
      <w:tr w14:paraId="756F91FD">
        <w:tblPrEx>
          <w:tblCellMar>
            <w:top w:w="0" w:type="dxa"/>
            <w:left w:w="108" w:type="dxa"/>
            <w:bottom w:w="0" w:type="dxa"/>
            <w:right w:w="108" w:type="dxa"/>
          </w:tblCellMar>
        </w:tblPrEx>
        <w:trPr>
          <w:trHeight w:val="454" w:hRule="exact"/>
        </w:trPr>
        <w:tc>
          <w:tcPr>
            <w:tcW w:w="2386" w:type="dxa"/>
            <w:tcBorders>
              <w:top w:val="single" w:color="auto" w:sz="8" w:space="0"/>
              <w:left w:val="single" w:color="auto" w:sz="8" w:space="0"/>
              <w:bottom w:val="single" w:color="auto" w:sz="8" w:space="0"/>
              <w:right w:val="single" w:color="auto" w:sz="8" w:space="0"/>
            </w:tcBorders>
            <w:vAlign w:val="center"/>
          </w:tcPr>
          <w:p w14:paraId="10048D2D">
            <w:pPr>
              <w:widowControl/>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公务用车运行及购置</w:t>
            </w:r>
          </w:p>
        </w:tc>
        <w:tc>
          <w:tcPr>
            <w:tcW w:w="1080" w:type="dxa"/>
            <w:tcBorders>
              <w:top w:val="single" w:color="auto" w:sz="8" w:space="0"/>
              <w:left w:val="single" w:color="auto" w:sz="8" w:space="0"/>
              <w:bottom w:val="single" w:color="auto" w:sz="8" w:space="0"/>
              <w:right w:val="single" w:color="auto" w:sz="8" w:space="0"/>
            </w:tcBorders>
            <w:vAlign w:val="center"/>
          </w:tcPr>
          <w:p w14:paraId="0E2577F2">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395" w:type="dxa"/>
            <w:tcBorders>
              <w:top w:val="single" w:color="auto" w:sz="8" w:space="0"/>
              <w:left w:val="single" w:color="auto" w:sz="8" w:space="0"/>
              <w:bottom w:val="single" w:color="auto" w:sz="8" w:space="0"/>
              <w:right w:val="single" w:color="auto" w:sz="8" w:space="0"/>
            </w:tcBorders>
            <w:vAlign w:val="center"/>
          </w:tcPr>
          <w:p w14:paraId="0D120B92">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615" w:type="dxa"/>
            <w:tcBorders>
              <w:top w:val="single" w:color="auto" w:sz="8" w:space="0"/>
              <w:left w:val="single" w:color="auto" w:sz="8" w:space="0"/>
              <w:bottom w:val="single" w:color="auto" w:sz="8" w:space="0"/>
              <w:right w:val="single" w:color="auto" w:sz="8" w:space="0"/>
            </w:tcBorders>
            <w:vAlign w:val="center"/>
          </w:tcPr>
          <w:p w14:paraId="673FE5F0">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209" w:type="dxa"/>
            <w:tcBorders>
              <w:top w:val="single" w:color="auto" w:sz="8" w:space="0"/>
              <w:left w:val="single" w:color="auto" w:sz="8" w:space="0"/>
              <w:bottom w:val="single" w:color="auto" w:sz="8" w:space="0"/>
              <w:right w:val="single" w:color="auto" w:sz="8" w:space="0"/>
            </w:tcBorders>
            <w:vAlign w:val="center"/>
          </w:tcPr>
          <w:p w14:paraId="43AFE99A">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866" w:type="dxa"/>
            <w:tcBorders>
              <w:top w:val="single" w:color="auto" w:sz="8" w:space="0"/>
              <w:left w:val="single" w:color="auto" w:sz="8" w:space="0"/>
              <w:bottom w:val="single" w:color="auto" w:sz="8" w:space="0"/>
              <w:right w:val="single" w:color="auto" w:sz="8" w:space="0"/>
            </w:tcBorders>
            <w:vAlign w:val="center"/>
          </w:tcPr>
          <w:p w14:paraId="4F86A960">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863" w:type="dxa"/>
            <w:tcBorders>
              <w:top w:val="single" w:color="auto" w:sz="8" w:space="0"/>
              <w:left w:val="single" w:color="auto" w:sz="8" w:space="0"/>
              <w:bottom w:val="single" w:color="auto" w:sz="8" w:space="0"/>
              <w:right w:val="single" w:color="auto" w:sz="8" w:space="0"/>
            </w:tcBorders>
            <w:vAlign w:val="center"/>
          </w:tcPr>
          <w:p w14:paraId="380F9CC9">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r>
      <w:tr w14:paraId="119168B8">
        <w:tblPrEx>
          <w:tblCellMar>
            <w:top w:w="0" w:type="dxa"/>
            <w:left w:w="108" w:type="dxa"/>
            <w:bottom w:w="0" w:type="dxa"/>
            <w:right w:w="108" w:type="dxa"/>
          </w:tblCellMar>
        </w:tblPrEx>
        <w:trPr>
          <w:trHeight w:val="631" w:hRule="exact"/>
        </w:trPr>
        <w:tc>
          <w:tcPr>
            <w:tcW w:w="2386" w:type="dxa"/>
            <w:tcBorders>
              <w:top w:val="single" w:color="auto" w:sz="8" w:space="0"/>
              <w:left w:val="single" w:color="auto" w:sz="8" w:space="0"/>
              <w:bottom w:val="single" w:color="auto" w:sz="8" w:space="0"/>
              <w:right w:val="single" w:color="auto" w:sz="8" w:space="0"/>
            </w:tcBorders>
            <w:vAlign w:val="center"/>
          </w:tcPr>
          <w:p w14:paraId="2563ED38">
            <w:pPr>
              <w:widowControl/>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其中：公务用车购置费</w:t>
            </w:r>
          </w:p>
        </w:tc>
        <w:tc>
          <w:tcPr>
            <w:tcW w:w="1080" w:type="dxa"/>
            <w:tcBorders>
              <w:top w:val="single" w:color="auto" w:sz="8" w:space="0"/>
              <w:left w:val="single" w:color="auto" w:sz="8" w:space="0"/>
              <w:bottom w:val="single" w:color="auto" w:sz="8" w:space="0"/>
              <w:right w:val="single" w:color="auto" w:sz="8" w:space="0"/>
            </w:tcBorders>
            <w:vAlign w:val="center"/>
          </w:tcPr>
          <w:p w14:paraId="26F9CD5F">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395" w:type="dxa"/>
            <w:tcBorders>
              <w:top w:val="single" w:color="auto" w:sz="8" w:space="0"/>
              <w:left w:val="single" w:color="auto" w:sz="8" w:space="0"/>
              <w:bottom w:val="single" w:color="auto" w:sz="8" w:space="0"/>
              <w:right w:val="single" w:color="auto" w:sz="8" w:space="0"/>
            </w:tcBorders>
            <w:vAlign w:val="center"/>
          </w:tcPr>
          <w:p w14:paraId="34ED778D">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615" w:type="dxa"/>
            <w:tcBorders>
              <w:top w:val="single" w:color="auto" w:sz="8" w:space="0"/>
              <w:left w:val="single" w:color="auto" w:sz="8" w:space="0"/>
              <w:bottom w:val="single" w:color="auto" w:sz="8" w:space="0"/>
              <w:right w:val="single" w:color="auto" w:sz="8" w:space="0"/>
            </w:tcBorders>
            <w:vAlign w:val="center"/>
          </w:tcPr>
          <w:p w14:paraId="2D577141">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209" w:type="dxa"/>
            <w:tcBorders>
              <w:top w:val="single" w:color="auto" w:sz="8" w:space="0"/>
              <w:left w:val="single" w:color="auto" w:sz="8" w:space="0"/>
              <w:bottom w:val="single" w:color="auto" w:sz="8" w:space="0"/>
              <w:right w:val="single" w:color="auto" w:sz="8" w:space="0"/>
            </w:tcBorders>
            <w:vAlign w:val="center"/>
          </w:tcPr>
          <w:p w14:paraId="1B1113A5">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866" w:type="dxa"/>
            <w:tcBorders>
              <w:top w:val="single" w:color="auto" w:sz="8" w:space="0"/>
              <w:left w:val="single" w:color="auto" w:sz="8" w:space="0"/>
              <w:bottom w:val="single" w:color="auto" w:sz="8" w:space="0"/>
              <w:right w:val="single" w:color="auto" w:sz="8" w:space="0"/>
            </w:tcBorders>
            <w:vAlign w:val="center"/>
          </w:tcPr>
          <w:p w14:paraId="430A748F">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863" w:type="dxa"/>
            <w:tcBorders>
              <w:top w:val="single" w:color="auto" w:sz="8" w:space="0"/>
              <w:left w:val="single" w:color="auto" w:sz="8" w:space="0"/>
              <w:bottom w:val="single" w:color="auto" w:sz="8" w:space="0"/>
              <w:right w:val="single" w:color="auto" w:sz="8" w:space="0"/>
            </w:tcBorders>
            <w:vAlign w:val="center"/>
          </w:tcPr>
          <w:p w14:paraId="285AEFA8">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r>
      <w:tr w14:paraId="79AAA02C">
        <w:tblPrEx>
          <w:tblCellMar>
            <w:top w:w="0" w:type="dxa"/>
            <w:left w:w="108" w:type="dxa"/>
            <w:bottom w:w="0" w:type="dxa"/>
            <w:right w:w="108" w:type="dxa"/>
          </w:tblCellMar>
        </w:tblPrEx>
        <w:trPr>
          <w:trHeight w:val="454" w:hRule="exact"/>
        </w:trPr>
        <w:tc>
          <w:tcPr>
            <w:tcW w:w="2386" w:type="dxa"/>
            <w:tcBorders>
              <w:top w:val="single" w:color="auto" w:sz="8" w:space="0"/>
              <w:left w:val="single" w:color="auto" w:sz="8" w:space="0"/>
              <w:bottom w:val="single" w:color="auto" w:sz="8" w:space="0"/>
              <w:right w:val="single" w:color="auto" w:sz="8" w:space="0"/>
            </w:tcBorders>
            <w:vAlign w:val="center"/>
          </w:tcPr>
          <w:p w14:paraId="3AABF928">
            <w:pPr>
              <w:widowControl/>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公务用车运行费</w:t>
            </w:r>
          </w:p>
        </w:tc>
        <w:tc>
          <w:tcPr>
            <w:tcW w:w="1080" w:type="dxa"/>
            <w:tcBorders>
              <w:top w:val="single" w:color="auto" w:sz="8" w:space="0"/>
              <w:left w:val="single" w:color="auto" w:sz="8" w:space="0"/>
              <w:bottom w:val="single" w:color="auto" w:sz="8" w:space="0"/>
              <w:right w:val="single" w:color="auto" w:sz="8" w:space="0"/>
            </w:tcBorders>
            <w:vAlign w:val="center"/>
          </w:tcPr>
          <w:p w14:paraId="7080F8A9">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395" w:type="dxa"/>
            <w:tcBorders>
              <w:top w:val="single" w:color="auto" w:sz="8" w:space="0"/>
              <w:left w:val="single" w:color="auto" w:sz="8" w:space="0"/>
              <w:bottom w:val="single" w:color="auto" w:sz="8" w:space="0"/>
              <w:right w:val="single" w:color="auto" w:sz="8" w:space="0"/>
            </w:tcBorders>
            <w:vAlign w:val="center"/>
          </w:tcPr>
          <w:p w14:paraId="56648214">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615" w:type="dxa"/>
            <w:tcBorders>
              <w:top w:val="single" w:color="auto" w:sz="8" w:space="0"/>
              <w:left w:val="single" w:color="auto" w:sz="8" w:space="0"/>
              <w:bottom w:val="single" w:color="auto" w:sz="8" w:space="0"/>
              <w:right w:val="single" w:color="auto" w:sz="8" w:space="0"/>
            </w:tcBorders>
            <w:vAlign w:val="center"/>
          </w:tcPr>
          <w:p w14:paraId="444CAC3F">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209" w:type="dxa"/>
            <w:tcBorders>
              <w:top w:val="single" w:color="auto" w:sz="8" w:space="0"/>
              <w:left w:val="single" w:color="auto" w:sz="8" w:space="0"/>
              <w:bottom w:val="single" w:color="auto" w:sz="8" w:space="0"/>
              <w:right w:val="single" w:color="auto" w:sz="8" w:space="0"/>
            </w:tcBorders>
            <w:vAlign w:val="center"/>
          </w:tcPr>
          <w:p w14:paraId="52A0D4EE">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866" w:type="dxa"/>
            <w:tcBorders>
              <w:top w:val="single" w:color="auto" w:sz="8" w:space="0"/>
              <w:left w:val="single" w:color="auto" w:sz="8" w:space="0"/>
              <w:bottom w:val="single" w:color="auto" w:sz="8" w:space="0"/>
              <w:right w:val="single" w:color="auto" w:sz="8" w:space="0"/>
            </w:tcBorders>
            <w:vAlign w:val="center"/>
          </w:tcPr>
          <w:p w14:paraId="15C762A5">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863" w:type="dxa"/>
            <w:tcBorders>
              <w:top w:val="single" w:color="auto" w:sz="8" w:space="0"/>
              <w:left w:val="single" w:color="auto" w:sz="8" w:space="0"/>
              <w:bottom w:val="single" w:color="auto" w:sz="8" w:space="0"/>
              <w:right w:val="single" w:color="auto" w:sz="8" w:space="0"/>
            </w:tcBorders>
            <w:vAlign w:val="center"/>
          </w:tcPr>
          <w:p w14:paraId="5A9C7323">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r>
      <w:tr w14:paraId="6B131FED">
        <w:tblPrEx>
          <w:tblCellMar>
            <w:top w:w="0" w:type="dxa"/>
            <w:left w:w="108" w:type="dxa"/>
            <w:bottom w:w="0" w:type="dxa"/>
            <w:right w:w="108" w:type="dxa"/>
          </w:tblCellMar>
        </w:tblPrEx>
        <w:trPr>
          <w:trHeight w:val="454" w:hRule="exact"/>
        </w:trPr>
        <w:tc>
          <w:tcPr>
            <w:tcW w:w="2386" w:type="dxa"/>
            <w:tcBorders>
              <w:top w:val="single" w:color="auto" w:sz="8" w:space="0"/>
              <w:left w:val="single" w:color="auto" w:sz="8" w:space="0"/>
              <w:bottom w:val="single" w:color="auto" w:sz="8" w:space="0"/>
              <w:right w:val="single" w:color="auto" w:sz="8" w:space="0"/>
            </w:tcBorders>
            <w:vAlign w:val="center"/>
          </w:tcPr>
          <w:p w14:paraId="7C1301CF">
            <w:pPr>
              <w:widowControl/>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公务接待费</w:t>
            </w:r>
          </w:p>
        </w:tc>
        <w:tc>
          <w:tcPr>
            <w:tcW w:w="1080" w:type="dxa"/>
            <w:tcBorders>
              <w:top w:val="single" w:color="auto" w:sz="8" w:space="0"/>
              <w:left w:val="single" w:color="auto" w:sz="8" w:space="0"/>
              <w:bottom w:val="single" w:color="auto" w:sz="8" w:space="0"/>
              <w:right w:val="single" w:color="auto" w:sz="8" w:space="0"/>
            </w:tcBorders>
            <w:vAlign w:val="center"/>
          </w:tcPr>
          <w:p w14:paraId="3B23B9E9">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395" w:type="dxa"/>
            <w:tcBorders>
              <w:top w:val="single" w:color="auto" w:sz="8" w:space="0"/>
              <w:left w:val="single" w:color="auto" w:sz="8" w:space="0"/>
              <w:bottom w:val="single" w:color="auto" w:sz="8" w:space="0"/>
              <w:right w:val="single" w:color="auto" w:sz="8" w:space="0"/>
            </w:tcBorders>
            <w:vAlign w:val="center"/>
          </w:tcPr>
          <w:p w14:paraId="5254184A">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615" w:type="dxa"/>
            <w:tcBorders>
              <w:top w:val="single" w:color="auto" w:sz="8" w:space="0"/>
              <w:left w:val="single" w:color="auto" w:sz="8" w:space="0"/>
              <w:bottom w:val="single" w:color="auto" w:sz="8" w:space="0"/>
              <w:right w:val="single" w:color="auto" w:sz="8" w:space="0"/>
            </w:tcBorders>
            <w:vAlign w:val="center"/>
          </w:tcPr>
          <w:p w14:paraId="16BC5229">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209" w:type="dxa"/>
            <w:tcBorders>
              <w:top w:val="single" w:color="auto" w:sz="8" w:space="0"/>
              <w:left w:val="single" w:color="auto" w:sz="8" w:space="0"/>
              <w:bottom w:val="single" w:color="auto" w:sz="8" w:space="0"/>
              <w:right w:val="single" w:color="auto" w:sz="8" w:space="0"/>
            </w:tcBorders>
            <w:vAlign w:val="center"/>
          </w:tcPr>
          <w:p w14:paraId="25329944">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866" w:type="dxa"/>
            <w:tcBorders>
              <w:top w:val="single" w:color="auto" w:sz="8" w:space="0"/>
              <w:left w:val="single" w:color="auto" w:sz="8" w:space="0"/>
              <w:bottom w:val="single" w:color="auto" w:sz="8" w:space="0"/>
              <w:right w:val="single" w:color="auto" w:sz="8" w:space="0"/>
            </w:tcBorders>
            <w:vAlign w:val="center"/>
          </w:tcPr>
          <w:p w14:paraId="1E78F1F0">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863" w:type="dxa"/>
            <w:tcBorders>
              <w:top w:val="single" w:color="auto" w:sz="8" w:space="0"/>
              <w:left w:val="single" w:color="auto" w:sz="8" w:space="0"/>
              <w:bottom w:val="single" w:color="auto" w:sz="8" w:space="0"/>
              <w:right w:val="single" w:color="auto" w:sz="8" w:space="0"/>
            </w:tcBorders>
            <w:vAlign w:val="center"/>
          </w:tcPr>
          <w:p w14:paraId="5E990BC3">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r>
    </w:tbl>
    <w:p w14:paraId="798AC689">
      <w:pPr>
        <w:widowControl/>
        <w:spacing w:line="500" w:lineRule="exact"/>
        <w:rPr>
          <w:rFonts w:ascii="仿宋_GB2312" w:hAnsi="仿宋_GB2312" w:eastAsia="仿宋_GB2312" w:cs="仿宋_GB2312"/>
          <w:sz w:val="30"/>
          <w:szCs w:val="30"/>
        </w:rPr>
      </w:pPr>
    </w:p>
    <w:p w14:paraId="55E2188D">
      <w:pPr>
        <w:widowControl/>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赫山区自然资源局严控“三公经费”支出，制定了《接待管理制度》，规定公务接待一律归口办公室统一安排，并严格按相关文件规定执行；《公务用车管理制度》从车辆油料费用、车辆维修、配件购置、司机岗位补助标准等各方面做了明确规定，公务用车归口办公室统一调度、管理。</w:t>
      </w:r>
    </w:p>
    <w:p w14:paraId="7AD1ED4D">
      <w:pPr>
        <w:pStyle w:val="11"/>
        <w:adjustRightInd w:val="0"/>
        <w:snapToGrid w:val="0"/>
        <w:spacing w:line="600" w:lineRule="exact"/>
        <w:ind w:firstLine="602"/>
        <w:rPr>
          <w:rFonts w:ascii="仿宋" w:hAnsi="仿宋" w:eastAsia="仿宋" w:cs="仿宋"/>
          <w:b/>
          <w:bCs/>
          <w:sz w:val="30"/>
          <w:szCs w:val="30"/>
        </w:rPr>
      </w:pPr>
      <w:r>
        <w:rPr>
          <w:rFonts w:hint="eastAsia" w:ascii="仿宋" w:hAnsi="仿宋" w:eastAsia="仿宋" w:cs="仿宋"/>
          <w:b/>
          <w:bCs/>
          <w:sz w:val="30"/>
          <w:szCs w:val="30"/>
        </w:rPr>
        <w:t>（二）项目支出情况</w:t>
      </w:r>
    </w:p>
    <w:p w14:paraId="75115CC8">
      <w:pPr>
        <w:topLinePunct/>
        <w:spacing w:line="600" w:lineRule="exact"/>
        <w:ind w:left="596" w:leftChars="284" w:firstLine="600" w:firstLineChars="200"/>
        <w:rPr>
          <w:rFonts w:ascii="仿宋" w:hAnsi="仿宋" w:eastAsia="仿宋" w:cs="仿宋"/>
          <w:sz w:val="30"/>
          <w:szCs w:val="30"/>
        </w:rPr>
      </w:pPr>
      <w:r>
        <w:rPr>
          <w:rFonts w:hint="eastAsia" w:ascii="仿宋" w:hAnsi="仿宋" w:eastAsia="仿宋" w:cs="仿宋"/>
          <w:color w:val="000000"/>
          <w:sz w:val="30"/>
          <w:szCs w:val="30"/>
        </w:rPr>
        <w:t>2021年</w:t>
      </w:r>
      <w:r>
        <w:rPr>
          <w:rFonts w:hint="eastAsia" w:ascii="仿宋" w:hAnsi="仿宋" w:eastAsia="仿宋" w:cs="仿宋"/>
          <w:sz w:val="30"/>
          <w:szCs w:val="30"/>
        </w:rPr>
        <w:t>赫山区自然资源局项目支出预算57万元，年中追加395.20万元，上年结转930.72万元，决算支出1382.92万元。详情如下：</w:t>
      </w:r>
    </w:p>
    <w:p w14:paraId="67F29949">
      <w:pPr>
        <w:topLinePunct/>
        <w:spacing w:line="6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1.2021年项目支出预算情况（单位：万元）</w:t>
      </w:r>
    </w:p>
    <w:p w14:paraId="310961BD">
      <w:pPr>
        <w:topLinePunct/>
        <w:spacing w:line="600" w:lineRule="exact"/>
        <w:ind w:firstLine="600" w:firstLineChars="200"/>
        <w:rPr>
          <w:rFonts w:ascii="仿宋" w:hAnsi="仿宋" w:eastAsia="仿宋" w:cs="仿宋"/>
          <w:color w:val="000000"/>
          <w:sz w:val="30"/>
          <w:szCs w:val="30"/>
        </w:rPr>
      </w:pPr>
    </w:p>
    <w:tbl>
      <w:tblPr>
        <w:tblStyle w:val="8"/>
        <w:tblW w:w="9436" w:type="dxa"/>
        <w:tblInd w:w="0" w:type="dxa"/>
        <w:tblLayout w:type="fixed"/>
        <w:tblCellMar>
          <w:top w:w="0" w:type="dxa"/>
          <w:left w:w="0" w:type="dxa"/>
          <w:bottom w:w="0" w:type="dxa"/>
          <w:right w:w="0" w:type="dxa"/>
        </w:tblCellMar>
      </w:tblPr>
      <w:tblGrid>
        <w:gridCol w:w="2956"/>
        <w:gridCol w:w="1500"/>
        <w:gridCol w:w="1530"/>
        <w:gridCol w:w="1680"/>
        <w:gridCol w:w="1770"/>
      </w:tblGrid>
      <w:tr w14:paraId="1F993107">
        <w:tblPrEx>
          <w:tblCellMar>
            <w:top w:w="0" w:type="dxa"/>
            <w:left w:w="0" w:type="dxa"/>
            <w:bottom w:w="0" w:type="dxa"/>
            <w:right w:w="0" w:type="dxa"/>
          </w:tblCellMar>
        </w:tblPrEx>
        <w:trPr>
          <w:trHeight w:val="454" w:hRule="exact"/>
        </w:trPr>
        <w:tc>
          <w:tcPr>
            <w:tcW w:w="295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126400F">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预算项目</w:t>
            </w:r>
          </w:p>
        </w:tc>
        <w:tc>
          <w:tcPr>
            <w:tcW w:w="150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03842EBE">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本年预算</w:t>
            </w:r>
          </w:p>
        </w:tc>
        <w:tc>
          <w:tcPr>
            <w:tcW w:w="153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0F173C32">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本年追加</w:t>
            </w:r>
          </w:p>
        </w:tc>
        <w:tc>
          <w:tcPr>
            <w:tcW w:w="168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4E5ACAB4">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上年结转</w:t>
            </w:r>
          </w:p>
        </w:tc>
        <w:tc>
          <w:tcPr>
            <w:tcW w:w="177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03E07CA4">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本年可用指标</w:t>
            </w:r>
          </w:p>
        </w:tc>
      </w:tr>
      <w:tr w14:paraId="6D5E30A9">
        <w:tblPrEx>
          <w:tblCellMar>
            <w:top w:w="0" w:type="dxa"/>
            <w:left w:w="0" w:type="dxa"/>
            <w:bottom w:w="0" w:type="dxa"/>
            <w:right w:w="0" w:type="dxa"/>
          </w:tblCellMar>
        </w:tblPrEx>
        <w:trPr>
          <w:trHeight w:val="454" w:hRule="exact"/>
        </w:trPr>
        <w:tc>
          <w:tcPr>
            <w:tcW w:w="295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2D89BD8">
            <w:pPr>
              <w:widowControl/>
              <w:adjustRightInd w:val="0"/>
              <w:snapToGrid w:val="0"/>
              <w:jc w:val="left"/>
              <w:rPr>
                <w:rFonts w:ascii="仿宋_GB2312" w:hAnsi="仿宋_GB2312" w:eastAsia="仿宋_GB2312" w:cs="仿宋_GB2312"/>
                <w:bCs/>
                <w:kern w:val="0"/>
                <w:sz w:val="24"/>
              </w:rPr>
            </w:pPr>
            <w:r>
              <w:rPr>
                <w:rFonts w:hint="eastAsia" w:ascii="仿宋_GB2312" w:hAnsi="仿宋_GB2312" w:eastAsia="仿宋_GB2312" w:cs="仿宋_GB2312"/>
                <w:bCs/>
                <w:kern w:val="0"/>
                <w:sz w:val="24"/>
              </w:rPr>
              <w:t>自然资源事务</w:t>
            </w:r>
          </w:p>
        </w:tc>
        <w:tc>
          <w:tcPr>
            <w:tcW w:w="150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5B78C22B">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57</w:t>
            </w:r>
          </w:p>
        </w:tc>
        <w:tc>
          <w:tcPr>
            <w:tcW w:w="153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1AC04095">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21.81</w:t>
            </w:r>
          </w:p>
        </w:tc>
        <w:tc>
          <w:tcPr>
            <w:tcW w:w="168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379EAC1F">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848.40</w:t>
            </w:r>
          </w:p>
        </w:tc>
        <w:tc>
          <w:tcPr>
            <w:tcW w:w="177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11E712DB">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927.21</w:t>
            </w:r>
          </w:p>
        </w:tc>
      </w:tr>
      <w:tr w14:paraId="61E2DEA4">
        <w:tblPrEx>
          <w:tblCellMar>
            <w:top w:w="0" w:type="dxa"/>
            <w:left w:w="0" w:type="dxa"/>
            <w:bottom w:w="0" w:type="dxa"/>
            <w:right w:w="0" w:type="dxa"/>
          </w:tblCellMar>
        </w:tblPrEx>
        <w:trPr>
          <w:trHeight w:val="454" w:hRule="exact"/>
        </w:trPr>
        <w:tc>
          <w:tcPr>
            <w:tcW w:w="295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6FE6958">
            <w:pPr>
              <w:widowControl/>
              <w:adjustRightInd w:val="0"/>
              <w:snapToGrid w:val="0"/>
              <w:jc w:val="left"/>
              <w:rPr>
                <w:rFonts w:ascii="仿宋_GB2312" w:hAnsi="仿宋_GB2312" w:eastAsia="仿宋_GB2312" w:cs="仿宋_GB2312"/>
                <w:bCs/>
                <w:kern w:val="0"/>
                <w:sz w:val="24"/>
              </w:rPr>
            </w:pPr>
            <w:r>
              <w:rPr>
                <w:rFonts w:hint="eastAsia" w:ascii="仿宋_GB2312" w:hAnsi="仿宋_GB2312" w:eastAsia="仿宋_GB2312" w:cs="仿宋_GB2312"/>
                <w:bCs/>
                <w:kern w:val="0"/>
                <w:sz w:val="24"/>
              </w:rPr>
              <w:t>自然灾害防治</w:t>
            </w:r>
          </w:p>
        </w:tc>
        <w:tc>
          <w:tcPr>
            <w:tcW w:w="150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3AEF5E74">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0</w:t>
            </w:r>
          </w:p>
        </w:tc>
        <w:tc>
          <w:tcPr>
            <w:tcW w:w="153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62494946">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373.39</w:t>
            </w:r>
          </w:p>
        </w:tc>
        <w:tc>
          <w:tcPr>
            <w:tcW w:w="168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282667EC">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82.32</w:t>
            </w:r>
          </w:p>
        </w:tc>
        <w:tc>
          <w:tcPr>
            <w:tcW w:w="177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3D054A60">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455.71</w:t>
            </w:r>
          </w:p>
        </w:tc>
      </w:tr>
      <w:tr w14:paraId="1E74BB04">
        <w:tblPrEx>
          <w:tblCellMar>
            <w:top w:w="0" w:type="dxa"/>
            <w:left w:w="0" w:type="dxa"/>
            <w:bottom w:w="0" w:type="dxa"/>
            <w:right w:w="0" w:type="dxa"/>
          </w:tblCellMar>
        </w:tblPrEx>
        <w:trPr>
          <w:trHeight w:val="454" w:hRule="exact"/>
        </w:trPr>
        <w:tc>
          <w:tcPr>
            <w:tcW w:w="295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7B4ED083">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合计</w:t>
            </w:r>
          </w:p>
        </w:tc>
        <w:tc>
          <w:tcPr>
            <w:tcW w:w="1500"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ECD356E">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57</w:t>
            </w:r>
          </w:p>
        </w:tc>
        <w:tc>
          <w:tcPr>
            <w:tcW w:w="1530"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0EB4622">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395.20</w:t>
            </w:r>
          </w:p>
        </w:tc>
        <w:tc>
          <w:tcPr>
            <w:tcW w:w="1680"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130651D">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930.72</w:t>
            </w:r>
          </w:p>
        </w:tc>
        <w:tc>
          <w:tcPr>
            <w:tcW w:w="1770"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A386EB2">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1382.92</w:t>
            </w:r>
            <w:r>
              <w:rPr>
                <w:rFonts w:hint="eastAsia" w:ascii="仿宋_GB2312" w:hAnsi="仿宋_GB2312" w:eastAsia="仿宋_GB2312" w:cs="仿宋_GB2312"/>
                <w:bCs/>
                <w:kern w:val="0"/>
                <w:sz w:val="24"/>
              </w:rPr>
              <w:fldChar w:fldCharType="begin"/>
            </w:r>
            <w:r>
              <w:rPr>
                <w:rFonts w:hint="eastAsia" w:ascii="仿宋_GB2312" w:hAnsi="仿宋_GB2312" w:eastAsia="仿宋_GB2312" w:cs="仿宋_GB2312"/>
                <w:bCs/>
                <w:kern w:val="0"/>
                <w:sz w:val="24"/>
              </w:rPr>
              <w:instrText xml:space="preserve"> = sum(E2:E8) \* MERGEFORMAT </w:instrText>
            </w:r>
            <w:r>
              <w:rPr>
                <w:rFonts w:hint="eastAsia" w:ascii="仿宋_GB2312" w:hAnsi="仿宋_GB2312" w:eastAsia="仿宋_GB2312" w:cs="仿宋_GB2312"/>
                <w:bCs/>
                <w:kern w:val="0"/>
                <w:sz w:val="24"/>
              </w:rPr>
              <w:fldChar w:fldCharType="end"/>
            </w:r>
          </w:p>
        </w:tc>
      </w:tr>
    </w:tbl>
    <w:p w14:paraId="551ED28C">
      <w:pPr>
        <w:topLinePunct/>
        <w:spacing w:line="560" w:lineRule="exact"/>
        <w:ind w:firstLine="600" w:firstLineChars="200"/>
        <w:rPr>
          <w:rFonts w:ascii="仿宋_GB2312" w:hAnsi="仿宋_GB2312" w:eastAsia="仿宋_GB2312" w:cs="仿宋_GB2312"/>
          <w:color w:val="000000"/>
          <w:sz w:val="30"/>
          <w:szCs w:val="30"/>
        </w:rPr>
      </w:pPr>
    </w:p>
    <w:p w14:paraId="1EB075A5">
      <w:pPr>
        <w:topLinePunct/>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2.2021年项目支出预算执行情况（单位：万元）</w:t>
      </w:r>
    </w:p>
    <w:tbl>
      <w:tblPr>
        <w:tblStyle w:val="8"/>
        <w:tblW w:w="9937" w:type="dxa"/>
        <w:jc w:val="center"/>
        <w:tblLayout w:type="fixed"/>
        <w:tblCellMar>
          <w:top w:w="0" w:type="dxa"/>
          <w:left w:w="0" w:type="dxa"/>
          <w:bottom w:w="0" w:type="dxa"/>
          <w:right w:w="0" w:type="dxa"/>
        </w:tblCellMar>
      </w:tblPr>
      <w:tblGrid>
        <w:gridCol w:w="3827"/>
        <w:gridCol w:w="2167"/>
        <w:gridCol w:w="1920"/>
        <w:gridCol w:w="2023"/>
      </w:tblGrid>
      <w:tr w14:paraId="3E560B4B">
        <w:tblPrEx>
          <w:tblCellMar>
            <w:top w:w="0" w:type="dxa"/>
            <w:left w:w="0" w:type="dxa"/>
            <w:bottom w:w="0" w:type="dxa"/>
            <w:right w:w="0" w:type="dxa"/>
          </w:tblCellMar>
        </w:tblPrEx>
        <w:trPr>
          <w:trHeight w:val="620" w:hRule="exact"/>
          <w:jc w:val="center"/>
        </w:trPr>
        <w:tc>
          <w:tcPr>
            <w:tcW w:w="382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02F8630">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预算项目</w:t>
            </w:r>
          </w:p>
        </w:tc>
        <w:tc>
          <w:tcPr>
            <w:tcW w:w="216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2FBE068F">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预算可用指标</w:t>
            </w:r>
          </w:p>
        </w:tc>
        <w:tc>
          <w:tcPr>
            <w:tcW w:w="192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282D6D14">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决算</w:t>
            </w:r>
          </w:p>
          <w:p w14:paraId="3AC35212">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金额</w:t>
            </w:r>
          </w:p>
        </w:tc>
        <w:tc>
          <w:tcPr>
            <w:tcW w:w="2023"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763BD610">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差额（可用指标-实际）</w:t>
            </w:r>
          </w:p>
        </w:tc>
      </w:tr>
      <w:tr w14:paraId="56D66B46">
        <w:tblPrEx>
          <w:tblCellMar>
            <w:top w:w="0" w:type="dxa"/>
            <w:left w:w="0" w:type="dxa"/>
            <w:bottom w:w="0" w:type="dxa"/>
            <w:right w:w="0" w:type="dxa"/>
          </w:tblCellMar>
        </w:tblPrEx>
        <w:trPr>
          <w:trHeight w:val="510" w:hRule="exact"/>
          <w:jc w:val="center"/>
        </w:trPr>
        <w:tc>
          <w:tcPr>
            <w:tcW w:w="382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bottom"/>
          </w:tcPr>
          <w:p w14:paraId="3E6A4C62">
            <w:pPr>
              <w:widowControl/>
              <w:adjustRightInd w:val="0"/>
              <w:snapToGrid w:val="0"/>
              <w:rPr>
                <w:rFonts w:ascii="仿宋_GB2312" w:hAnsi="仿宋_GB2312" w:eastAsia="仿宋_GB2312" w:cs="仿宋_GB2312"/>
                <w:bCs/>
                <w:kern w:val="0"/>
                <w:sz w:val="24"/>
              </w:rPr>
            </w:pPr>
            <w:r>
              <w:rPr>
                <w:rFonts w:hint="eastAsia" w:ascii="仿宋_GB2312" w:hAnsi="仿宋_GB2312" w:eastAsia="仿宋_GB2312" w:cs="仿宋_GB2312"/>
                <w:bCs/>
                <w:kern w:val="0"/>
                <w:sz w:val="24"/>
              </w:rPr>
              <w:t>自然资源事务</w:t>
            </w:r>
          </w:p>
        </w:tc>
        <w:tc>
          <w:tcPr>
            <w:tcW w:w="216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bottom"/>
          </w:tcPr>
          <w:p w14:paraId="5A25C9B3">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927.21</w:t>
            </w:r>
          </w:p>
        </w:tc>
        <w:tc>
          <w:tcPr>
            <w:tcW w:w="192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bottom"/>
          </w:tcPr>
          <w:p w14:paraId="11388744">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927.21</w:t>
            </w:r>
          </w:p>
        </w:tc>
        <w:tc>
          <w:tcPr>
            <w:tcW w:w="2023"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bottom"/>
          </w:tcPr>
          <w:p w14:paraId="39DA80AE">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0</w:t>
            </w:r>
          </w:p>
        </w:tc>
      </w:tr>
      <w:tr w14:paraId="2337366A">
        <w:tblPrEx>
          <w:tblCellMar>
            <w:top w:w="0" w:type="dxa"/>
            <w:left w:w="0" w:type="dxa"/>
            <w:bottom w:w="0" w:type="dxa"/>
            <w:right w:w="0" w:type="dxa"/>
          </w:tblCellMar>
        </w:tblPrEx>
        <w:trPr>
          <w:trHeight w:val="510" w:hRule="exact"/>
          <w:jc w:val="center"/>
        </w:trPr>
        <w:tc>
          <w:tcPr>
            <w:tcW w:w="382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bottom"/>
          </w:tcPr>
          <w:p w14:paraId="6719D7D6">
            <w:pPr>
              <w:widowControl/>
              <w:adjustRightInd w:val="0"/>
              <w:snapToGrid w:val="0"/>
              <w:jc w:val="left"/>
              <w:rPr>
                <w:rFonts w:ascii="仿宋_GB2312" w:hAnsi="仿宋_GB2312" w:eastAsia="仿宋_GB2312" w:cs="仿宋_GB2312"/>
                <w:bCs/>
                <w:kern w:val="0"/>
                <w:sz w:val="24"/>
              </w:rPr>
            </w:pPr>
            <w:r>
              <w:rPr>
                <w:rFonts w:hint="eastAsia" w:ascii="仿宋_GB2312" w:hAnsi="仿宋_GB2312" w:eastAsia="仿宋_GB2312" w:cs="仿宋_GB2312"/>
                <w:bCs/>
                <w:kern w:val="0"/>
                <w:sz w:val="24"/>
              </w:rPr>
              <w:t>自然灾害防治</w:t>
            </w:r>
          </w:p>
        </w:tc>
        <w:tc>
          <w:tcPr>
            <w:tcW w:w="216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bottom"/>
          </w:tcPr>
          <w:p w14:paraId="2FBDDAEC">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455.71</w:t>
            </w:r>
          </w:p>
        </w:tc>
        <w:tc>
          <w:tcPr>
            <w:tcW w:w="192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bottom"/>
          </w:tcPr>
          <w:p w14:paraId="4209B612">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455.71</w:t>
            </w:r>
          </w:p>
        </w:tc>
        <w:tc>
          <w:tcPr>
            <w:tcW w:w="2023"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bottom"/>
          </w:tcPr>
          <w:p w14:paraId="3BD2D17E">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0</w:t>
            </w:r>
          </w:p>
        </w:tc>
      </w:tr>
      <w:tr w14:paraId="7AC3F09E">
        <w:tblPrEx>
          <w:tblCellMar>
            <w:top w:w="0" w:type="dxa"/>
            <w:left w:w="0" w:type="dxa"/>
            <w:bottom w:w="0" w:type="dxa"/>
            <w:right w:w="0" w:type="dxa"/>
          </w:tblCellMar>
        </w:tblPrEx>
        <w:trPr>
          <w:trHeight w:val="510" w:hRule="exact"/>
          <w:jc w:val="center"/>
        </w:trPr>
        <w:tc>
          <w:tcPr>
            <w:tcW w:w="382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bottom"/>
          </w:tcPr>
          <w:p w14:paraId="433D4EBF">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合  计</w:t>
            </w:r>
          </w:p>
        </w:tc>
        <w:tc>
          <w:tcPr>
            <w:tcW w:w="216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bottom"/>
          </w:tcPr>
          <w:p w14:paraId="4CDDC337">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1382.92</w:t>
            </w:r>
          </w:p>
        </w:tc>
        <w:tc>
          <w:tcPr>
            <w:tcW w:w="192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bottom"/>
          </w:tcPr>
          <w:p w14:paraId="0B894623">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1382.92</w:t>
            </w:r>
          </w:p>
        </w:tc>
        <w:tc>
          <w:tcPr>
            <w:tcW w:w="2023"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bottom"/>
          </w:tcPr>
          <w:p w14:paraId="34079351">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0</w:t>
            </w:r>
          </w:p>
        </w:tc>
      </w:tr>
    </w:tbl>
    <w:p w14:paraId="07E079DB">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3.项目资金管理</w:t>
      </w:r>
    </w:p>
    <w:p w14:paraId="24CA4531">
      <w:pPr>
        <w:pStyle w:val="12"/>
        <w:spacing w:line="600" w:lineRule="exact"/>
        <w:ind w:left="0" w:firstLine="600" w:firstLineChars="200"/>
        <w:rPr>
          <w:rFonts w:ascii="仿宋" w:hAnsi="仿宋" w:eastAsia="仿宋" w:cs="仿宋"/>
          <w:kern w:val="2"/>
          <w:sz w:val="30"/>
          <w:szCs w:val="30"/>
        </w:rPr>
      </w:pPr>
      <w:r>
        <w:rPr>
          <w:rFonts w:hint="eastAsia" w:ascii="仿宋" w:hAnsi="仿宋" w:eastAsia="仿宋" w:cs="仿宋"/>
          <w:kern w:val="2"/>
          <w:sz w:val="30"/>
          <w:szCs w:val="30"/>
        </w:rPr>
        <w:t>为加强项目资金管理，赫山区自然资源局制度了《项目财务管理制度》，明确项目资金严格按国家基本建设资金的使用管理办法，专人专管，单独核算。财务股根据各种合同的有关条款及资料，认真审核原始凭证，严格按审批程序执行，按照区国库集中支付局的要求，财务人员到区财政办理支付手续。项目主要支出为2021地质灾害防治项目支出。</w:t>
      </w:r>
    </w:p>
    <w:p w14:paraId="5D75680D">
      <w:pPr>
        <w:pStyle w:val="12"/>
        <w:spacing w:line="600" w:lineRule="exact"/>
        <w:ind w:left="0" w:firstLine="600" w:firstLineChars="200"/>
        <w:rPr>
          <w:rFonts w:ascii="仿宋" w:hAnsi="仿宋" w:eastAsia="仿宋" w:cs="仿宋"/>
          <w:kern w:val="2"/>
          <w:sz w:val="30"/>
          <w:szCs w:val="30"/>
        </w:rPr>
      </w:pPr>
      <w:r>
        <w:rPr>
          <w:rFonts w:hint="eastAsia" w:ascii="仿宋" w:hAnsi="仿宋" w:eastAsia="仿宋" w:cs="仿宋"/>
          <w:kern w:val="2"/>
          <w:sz w:val="30"/>
          <w:szCs w:val="30"/>
        </w:rPr>
        <w:t>4.项目组织情况</w:t>
      </w:r>
    </w:p>
    <w:p w14:paraId="4B68CCB9">
      <w:pPr>
        <w:pStyle w:val="12"/>
        <w:spacing w:line="600" w:lineRule="exact"/>
        <w:ind w:left="0" w:firstLine="600" w:firstLineChars="200"/>
        <w:rPr>
          <w:rFonts w:ascii="仿宋" w:hAnsi="仿宋" w:eastAsia="仿宋" w:cs="仿宋"/>
          <w:kern w:val="2"/>
          <w:sz w:val="30"/>
          <w:szCs w:val="30"/>
        </w:rPr>
      </w:pPr>
      <w:r>
        <w:rPr>
          <w:rFonts w:hint="eastAsia" w:ascii="仿宋" w:hAnsi="仿宋" w:eastAsia="仿宋" w:cs="仿宋"/>
          <w:kern w:val="2"/>
          <w:sz w:val="30"/>
          <w:szCs w:val="30"/>
        </w:rPr>
        <w:t>项目在合同方面情况较好。主要表现在几个方面：一是施工方严格按规划设计图纸及施工组织设计规范施工，确保按时按量完工，并接受发包方、监理方监督，施工中遇到工程变更能及时申请，所有工程变更均通过协商达成一致意见，无法律纠纷。二是监理方切实加强项目实施过程中对资金拨付工程进度、工程质量的指导与监督，并组织好各类监理资料，确保项目顺利完工。</w:t>
      </w:r>
    </w:p>
    <w:p w14:paraId="58101D07">
      <w:pPr>
        <w:pStyle w:val="12"/>
        <w:spacing w:line="600" w:lineRule="exact"/>
        <w:ind w:left="0" w:firstLine="600" w:firstLineChars="200"/>
        <w:rPr>
          <w:rFonts w:ascii="仿宋" w:hAnsi="仿宋" w:eastAsia="仿宋" w:cs="仿宋"/>
          <w:kern w:val="2"/>
          <w:sz w:val="30"/>
          <w:szCs w:val="30"/>
        </w:rPr>
      </w:pPr>
      <w:r>
        <w:rPr>
          <w:rFonts w:hint="eastAsia" w:ascii="仿宋" w:hAnsi="仿宋" w:eastAsia="仿宋" w:cs="仿宋"/>
          <w:kern w:val="2"/>
          <w:sz w:val="30"/>
          <w:szCs w:val="30"/>
        </w:rPr>
        <w:t>及时组织对项目的验收。首先在施工单位提出结算申请后，经赫山区土地开发整理复垦中心审批同意，办理项目结算，然后由有资质的中介机构对项目财务进行审计并出具财务报告，最后成立验收组对项目进行验收并出具行政验收意见。</w:t>
      </w:r>
    </w:p>
    <w:p w14:paraId="6997C1A6">
      <w:pPr>
        <w:pStyle w:val="12"/>
        <w:spacing w:line="600" w:lineRule="exact"/>
        <w:ind w:left="0" w:firstLine="600" w:firstLineChars="200"/>
        <w:rPr>
          <w:rFonts w:ascii="仿宋" w:hAnsi="仿宋" w:eastAsia="仿宋" w:cs="仿宋"/>
          <w:kern w:val="2"/>
          <w:sz w:val="30"/>
          <w:szCs w:val="30"/>
        </w:rPr>
      </w:pPr>
      <w:r>
        <w:rPr>
          <w:rFonts w:hint="eastAsia" w:ascii="仿宋" w:hAnsi="仿宋" w:eastAsia="仿宋" w:cs="仿宋"/>
          <w:kern w:val="2"/>
          <w:sz w:val="30"/>
          <w:szCs w:val="30"/>
        </w:rPr>
        <w:t>5.项目管理情况</w:t>
      </w:r>
    </w:p>
    <w:p w14:paraId="67146B74">
      <w:pPr>
        <w:pStyle w:val="12"/>
        <w:spacing w:line="600" w:lineRule="exact"/>
        <w:ind w:left="0" w:firstLine="600" w:firstLineChars="200"/>
        <w:rPr>
          <w:rFonts w:ascii="仿宋" w:hAnsi="仿宋" w:eastAsia="仿宋" w:cs="仿宋"/>
          <w:kern w:val="2"/>
          <w:sz w:val="30"/>
          <w:szCs w:val="30"/>
        </w:rPr>
      </w:pPr>
      <w:r>
        <w:rPr>
          <w:rFonts w:hint="eastAsia" w:ascii="仿宋" w:hAnsi="仿宋" w:eastAsia="仿宋" w:cs="仿宋"/>
          <w:kern w:val="2"/>
          <w:sz w:val="30"/>
          <w:szCs w:val="30"/>
        </w:rPr>
        <w:t>赫山区自然资源局负责项目的招投标、开工申报、质量和安全监督申报、制定施工计划等前期准备工作；全程参与建设管理，定期组织质量和安全检查，严格工程量审核和资金拨付；完成各类统计报表的上报工作。</w:t>
      </w:r>
    </w:p>
    <w:p w14:paraId="6FD1D6BD">
      <w:pPr>
        <w:pStyle w:val="11"/>
        <w:adjustRightInd w:val="0"/>
        <w:snapToGrid w:val="0"/>
        <w:spacing w:line="600" w:lineRule="exact"/>
        <w:ind w:firstLine="602"/>
        <w:rPr>
          <w:rFonts w:ascii="仿宋" w:hAnsi="仿宋" w:eastAsia="仿宋" w:cs="仿宋"/>
          <w:b/>
          <w:bCs/>
          <w:sz w:val="30"/>
          <w:szCs w:val="30"/>
        </w:rPr>
      </w:pPr>
      <w:r>
        <w:rPr>
          <w:rFonts w:hint="eastAsia" w:ascii="仿宋" w:hAnsi="仿宋" w:eastAsia="仿宋" w:cs="仿宋"/>
          <w:b/>
          <w:bCs/>
          <w:sz w:val="30"/>
          <w:szCs w:val="30"/>
        </w:rPr>
        <w:t>（三）结转结余资金情况</w:t>
      </w:r>
    </w:p>
    <w:p w14:paraId="3A37226C">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2021年赫山区自然资源局年初结转结余指标0万元，其中0元为项目资金结转。决算报表经营结余 0万元。</w:t>
      </w:r>
    </w:p>
    <w:p w14:paraId="224FA1AB">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年末结转结余指标0万元，其中0万元为项目资金。决算报表经营结余0万元.</w:t>
      </w:r>
    </w:p>
    <w:p w14:paraId="37B70668">
      <w:pPr>
        <w:numPr>
          <w:ilvl w:val="0"/>
          <w:numId w:val="1"/>
        </w:num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预决算公开情况</w:t>
      </w:r>
    </w:p>
    <w:p w14:paraId="12FC13E0">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赫山区自然资源局2021年度预决算在赫山区政府信息公开网公开。</w:t>
      </w:r>
    </w:p>
    <w:p w14:paraId="11E4BEB0">
      <w:p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（五）资产管理情况</w:t>
      </w:r>
    </w:p>
    <w:p w14:paraId="33F5EC8F">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赫山区自然资源局加强资产管理，对固定资产管理实行“统一领导、归口管理”，对固定资产的购置、调拨、处置、收益、清查等做出明确规定，明确单位内各股室实行负责人负责制。</w:t>
      </w:r>
    </w:p>
    <w:p w14:paraId="6AE4E6F8">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办公用品采购由各股室提出申请，办公室和财务室按需求进度统一购买（大宗办公用品向区采购中心报备），办公室专人负责保管。各股室领用时，进行台帐管理。</w:t>
      </w:r>
    </w:p>
    <w:p w14:paraId="42BDB50B">
      <w:p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（六）内部管理制度建设情况</w:t>
      </w:r>
    </w:p>
    <w:p w14:paraId="3A1CE8E5">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赫山区自然资源局积极制定完善的内部管理制度，形成了一整套的机关管理制度。为规范重大决策、重要干部任免、重大项目安排和大额度资金使用，制定了《“三重一大”民主决策制度》；为确保单位各项资产的安全有效使用、资金的安全运行，提高资金的使用效率，保障本单位财务会计管理的合法合规，财务报告及相关信息真实完整，制定了《财务会计内部控制制度》、《采购管理制度》；为规范合同订立行为，防范和降低合同签订带来的风险，制定了《合同管理制度》；为加强项目管理，严格执行工程建设项目法人责任制、招投标制、监理制、合同管理制，制定了《工程项目申报、建设与管理制度》《项目财务管理制度》，加上《接待管理制度》《公务用车管理制度》，形成了一整套行之有效的制度体系。</w:t>
      </w:r>
    </w:p>
    <w:p w14:paraId="489B522A">
      <w:pPr>
        <w:pStyle w:val="12"/>
        <w:numPr>
          <w:ilvl w:val="0"/>
          <w:numId w:val="2"/>
        </w:numPr>
        <w:spacing w:line="600" w:lineRule="exact"/>
        <w:ind w:left="0" w:firstLine="600" w:firstLineChars="200"/>
        <w:rPr>
          <w:rFonts w:ascii="黑体" w:hAnsi="黑体" w:eastAsia="黑体" w:cs="黑体"/>
          <w:kern w:val="2"/>
          <w:sz w:val="30"/>
          <w:szCs w:val="30"/>
        </w:rPr>
      </w:pPr>
      <w:r>
        <w:rPr>
          <w:rFonts w:hint="eastAsia" w:ascii="黑体" w:hAnsi="黑体" w:eastAsia="黑体" w:cs="黑体"/>
          <w:kern w:val="2"/>
          <w:sz w:val="30"/>
          <w:szCs w:val="30"/>
        </w:rPr>
        <w:t>政府性基金预算支出情况</w:t>
      </w:r>
    </w:p>
    <w:p w14:paraId="6BFDE14C">
      <w:pPr>
        <w:pStyle w:val="12"/>
        <w:spacing w:line="600" w:lineRule="exact"/>
        <w:ind w:left="0" w:firstLine="600" w:firstLineChars="200"/>
        <w:rPr>
          <w:rFonts w:ascii="仿宋" w:hAnsi="仿宋" w:eastAsia="仿宋" w:cs="仿宋"/>
          <w:b/>
          <w:bCs/>
          <w:kern w:val="2"/>
          <w:sz w:val="30"/>
          <w:szCs w:val="30"/>
        </w:rPr>
      </w:pPr>
      <w:r>
        <w:rPr>
          <w:rFonts w:hint="eastAsia" w:ascii="仿宋" w:hAnsi="仿宋" w:eastAsia="仿宋" w:cs="仿宋"/>
          <w:sz w:val="30"/>
          <w:szCs w:val="30"/>
        </w:rPr>
        <w:t>政府性基金财政拨款收入315.00万元，政府性基金财政拨款支出315.00元。</w:t>
      </w:r>
    </w:p>
    <w:p w14:paraId="0EFC5CD7">
      <w:pPr>
        <w:pStyle w:val="12"/>
        <w:numPr>
          <w:ilvl w:val="0"/>
          <w:numId w:val="2"/>
        </w:numPr>
        <w:spacing w:line="600" w:lineRule="exact"/>
        <w:ind w:left="0" w:firstLine="600" w:firstLineChars="200"/>
        <w:rPr>
          <w:rFonts w:ascii="黑体" w:hAnsi="黑体" w:eastAsia="黑体" w:cs="黑体"/>
          <w:kern w:val="2"/>
          <w:sz w:val="30"/>
          <w:szCs w:val="30"/>
        </w:rPr>
      </w:pPr>
      <w:r>
        <w:rPr>
          <w:rFonts w:hint="eastAsia" w:ascii="黑体" w:hAnsi="黑体" w:eastAsia="黑体" w:cs="黑体"/>
          <w:kern w:val="2"/>
          <w:sz w:val="30"/>
          <w:szCs w:val="30"/>
        </w:rPr>
        <w:t>国有资本经营预算支出情况</w:t>
      </w:r>
    </w:p>
    <w:p w14:paraId="4172234F">
      <w:pPr>
        <w:pStyle w:val="12"/>
        <w:spacing w:line="600" w:lineRule="exact"/>
        <w:ind w:left="0" w:firstLine="600" w:firstLineChars="200"/>
        <w:rPr>
          <w:rFonts w:ascii="仿宋" w:hAnsi="仿宋" w:eastAsia="仿宋" w:cs="仿宋"/>
          <w:kern w:val="2"/>
          <w:sz w:val="30"/>
          <w:szCs w:val="30"/>
        </w:rPr>
      </w:pPr>
      <w:r>
        <w:rPr>
          <w:rFonts w:hint="eastAsia" w:ascii="仿宋" w:hAnsi="仿宋" w:eastAsia="仿宋" w:cs="仿宋"/>
          <w:kern w:val="2"/>
          <w:sz w:val="30"/>
          <w:szCs w:val="30"/>
        </w:rPr>
        <w:t>无国有资本经营预算支出。</w:t>
      </w:r>
    </w:p>
    <w:p w14:paraId="6DBAA7E0">
      <w:pPr>
        <w:pStyle w:val="12"/>
        <w:numPr>
          <w:ilvl w:val="0"/>
          <w:numId w:val="2"/>
        </w:numPr>
        <w:spacing w:line="600" w:lineRule="exact"/>
        <w:ind w:left="0" w:firstLine="600" w:firstLineChars="200"/>
        <w:rPr>
          <w:rFonts w:ascii="黑体" w:hAnsi="黑体" w:eastAsia="黑体" w:cs="黑体"/>
          <w:kern w:val="2"/>
          <w:sz w:val="30"/>
          <w:szCs w:val="30"/>
        </w:rPr>
      </w:pPr>
      <w:r>
        <w:rPr>
          <w:rFonts w:hint="eastAsia" w:ascii="黑体" w:hAnsi="黑体" w:eastAsia="黑体" w:cs="黑体"/>
          <w:kern w:val="2"/>
          <w:sz w:val="30"/>
          <w:szCs w:val="30"/>
        </w:rPr>
        <w:t>社会保险基金预算支出情况</w:t>
      </w:r>
    </w:p>
    <w:p w14:paraId="3E69C899">
      <w:pPr>
        <w:pStyle w:val="7"/>
        <w:spacing w:line="600" w:lineRule="exact"/>
        <w:ind w:firstLine="600" w:firstLineChars="200"/>
        <w:rPr>
          <w:rFonts w:ascii="仿宋" w:hAnsi="仿宋" w:eastAsia="仿宋" w:cs="仿宋"/>
          <w:b/>
          <w:bCs/>
          <w:sz w:val="30"/>
          <w:szCs w:val="30"/>
        </w:rPr>
      </w:pPr>
      <w:r>
        <w:rPr>
          <w:rFonts w:hint="eastAsia" w:ascii="仿宋" w:hAnsi="仿宋" w:eastAsia="仿宋" w:cs="仿宋"/>
          <w:sz w:val="30"/>
          <w:szCs w:val="30"/>
        </w:rPr>
        <w:t>无社会保险基金预算支出。</w:t>
      </w:r>
    </w:p>
    <w:p w14:paraId="31B677EA">
      <w:pPr>
        <w:pStyle w:val="12"/>
        <w:numPr>
          <w:ilvl w:val="0"/>
          <w:numId w:val="2"/>
        </w:numPr>
        <w:spacing w:line="600" w:lineRule="exact"/>
        <w:ind w:left="0" w:firstLine="600" w:firstLineChars="200"/>
        <w:rPr>
          <w:rFonts w:ascii="黑体" w:hAnsi="黑体" w:eastAsia="黑体" w:cs="黑体"/>
          <w:kern w:val="2"/>
          <w:sz w:val="30"/>
          <w:szCs w:val="30"/>
        </w:rPr>
      </w:pPr>
      <w:r>
        <w:rPr>
          <w:rFonts w:hint="eastAsia" w:ascii="黑体" w:hAnsi="黑体" w:eastAsia="黑体" w:cs="黑体"/>
          <w:kern w:val="2"/>
          <w:sz w:val="30"/>
          <w:szCs w:val="30"/>
        </w:rPr>
        <w:t>部门整体支出绩效情况</w:t>
      </w:r>
    </w:p>
    <w:p w14:paraId="46536778">
      <w:pPr>
        <w:spacing w:line="600" w:lineRule="exact"/>
        <w:ind w:firstLine="602" w:firstLineChars="200"/>
        <w:rPr>
          <w:rFonts w:ascii="仿宋" w:hAnsi="仿宋" w:eastAsia="仿宋" w:cs="仿宋"/>
          <w:sz w:val="30"/>
          <w:szCs w:val="30"/>
        </w:rPr>
      </w:pPr>
      <w:r>
        <w:rPr>
          <w:rFonts w:hint="eastAsia" w:ascii="仿宋" w:hAnsi="仿宋" w:eastAsia="仿宋" w:cs="仿宋"/>
          <w:b/>
          <w:bCs/>
          <w:sz w:val="30"/>
          <w:szCs w:val="30"/>
        </w:rPr>
        <w:t>(一）收入情况：</w:t>
      </w:r>
      <w:r>
        <w:rPr>
          <w:rFonts w:hint="eastAsia" w:ascii="仿宋" w:hAnsi="仿宋" w:eastAsia="仿宋" w:cs="仿宋"/>
          <w:sz w:val="30"/>
          <w:szCs w:val="30"/>
        </w:rPr>
        <w:t>2021年赫山区自然资源局决算收入4376.14万元，其中财政拨款收入1620.09万元，政府性基金财政拨款收入315万元，其他收入188.80万元，上年结转结余2252.25万元。</w:t>
      </w:r>
    </w:p>
    <w:p w14:paraId="3E7C020C">
      <w:pPr>
        <w:spacing w:line="600" w:lineRule="exact"/>
        <w:ind w:firstLine="602" w:firstLineChars="200"/>
        <w:rPr>
          <w:rFonts w:ascii="仿宋" w:hAnsi="仿宋" w:eastAsia="仿宋" w:cs="仿宋"/>
          <w:sz w:val="30"/>
          <w:szCs w:val="30"/>
        </w:rPr>
      </w:pPr>
      <w:r>
        <w:rPr>
          <w:rFonts w:hint="eastAsia" w:ascii="仿宋" w:hAnsi="仿宋" w:eastAsia="仿宋" w:cs="仿宋"/>
          <w:b/>
          <w:bCs/>
          <w:sz w:val="30"/>
          <w:szCs w:val="30"/>
        </w:rPr>
        <w:t>（二）支出情况：</w:t>
      </w:r>
      <w:r>
        <w:rPr>
          <w:rFonts w:hint="eastAsia" w:ascii="仿宋" w:hAnsi="仿宋" w:eastAsia="仿宋" w:cs="仿宋"/>
          <w:sz w:val="30"/>
          <w:szCs w:val="30"/>
        </w:rPr>
        <w:t>2021年赫山区自然资源局决算支出4376.14万元，其中基本支出2672.22万元（人员经费支出1751.48万元、公用经费支出920.74万元），占比61.1%；项目支出1703.92万元，占比38.9%。</w:t>
      </w:r>
    </w:p>
    <w:p w14:paraId="5522FF49">
      <w:pPr>
        <w:pStyle w:val="11"/>
        <w:adjustRightInd w:val="0"/>
        <w:snapToGrid w:val="0"/>
        <w:spacing w:line="600" w:lineRule="exact"/>
        <w:ind w:firstLine="600"/>
        <w:rPr>
          <w:rFonts w:ascii="仿宋" w:hAnsi="仿宋" w:eastAsia="仿宋" w:cs="仿宋"/>
          <w:sz w:val="30"/>
          <w:szCs w:val="30"/>
        </w:rPr>
      </w:pPr>
      <w:r>
        <w:rPr>
          <w:rFonts w:hint="eastAsia" w:ascii="仿宋" w:hAnsi="仿宋" w:eastAsia="仿宋" w:cs="仿宋"/>
          <w:sz w:val="30"/>
          <w:szCs w:val="30"/>
        </w:rPr>
        <w:t>1.部门整体支出绩效目标</w:t>
      </w:r>
    </w:p>
    <w:p w14:paraId="13AFDF55">
      <w:pPr>
        <w:spacing w:line="600" w:lineRule="exact"/>
        <w:ind w:firstLine="600" w:firstLineChars="200"/>
        <w:rPr>
          <w:rFonts w:ascii="仿宋" w:hAnsi="仿宋" w:eastAsia="仿宋" w:cs="仿宋"/>
          <w:sz w:val="30"/>
          <w:szCs w:val="30"/>
          <w:lang w:val="zh-CN"/>
        </w:rPr>
      </w:pPr>
      <w:r>
        <w:rPr>
          <w:rFonts w:hint="eastAsia" w:ascii="仿宋" w:hAnsi="仿宋" w:eastAsia="仿宋" w:cs="仿宋"/>
          <w:sz w:val="30"/>
          <w:szCs w:val="30"/>
        </w:rPr>
        <w:t>年度绩效目标：</w:t>
      </w:r>
      <w:r>
        <w:rPr>
          <w:rFonts w:hint="eastAsia" w:ascii="仿宋" w:hAnsi="仿宋" w:eastAsia="仿宋" w:cs="仿宋"/>
          <w:sz w:val="30"/>
          <w:szCs w:val="30"/>
          <w:lang w:val="zh-CN"/>
        </w:rPr>
        <w:t>益阳市赫山区自然资源局</w:t>
      </w:r>
      <w:r>
        <w:rPr>
          <w:rFonts w:hint="eastAsia" w:ascii="仿宋" w:hAnsi="仿宋" w:eastAsia="仿宋" w:cs="仿宋"/>
          <w:sz w:val="30"/>
          <w:szCs w:val="30"/>
        </w:rPr>
        <w:t>坚定不移贯彻新发展理念，坚定不移服务高质量发展要求，努力开创全区自然资源工作新局面，为赫山高质量发展提供了坚强保障。</w:t>
      </w:r>
    </w:p>
    <w:p w14:paraId="58B78CEA">
      <w:pPr>
        <w:topLinePunct/>
        <w:adjustRightInd w:val="0"/>
        <w:snapToGrid w:val="0"/>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2.绩效评价工作情况</w:t>
      </w:r>
    </w:p>
    <w:p w14:paraId="6CA72936">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（1）规划体系逐步完善。成立了由区长任组长的空间规划工作领导小组，拟定了赫山区乡镇国土空间总体规划编制工作方案，召开了赫山区规划委员会第一次会议和全区村庄规划动员培训会，</w:t>
      </w:r>
      <w:r>
        <w:rPr>
          <w:rFonts w:hint="eastAsia" w:ascii="仿宋" w:hAnsi="仿宋" w:eastAsia="仿宋" w:cs="仿宋"/>
          <w:bCs/>
          <w:kern w:val="0"/>
          <w:sz w:val="30"/>
          <w:szCs w:val="30"/>
        </w:rPr>
        <w:t>开展了</w:t>
      </w:r>
      <w:r>
        <w:rPr>
          <w:rFonts w:hint="eastAsia" w:ascii="仿宋" w:hAnsi="仿宋" w:eastAsia="仿宋" w:cs="仿宋"/>
          <w:bCs/>
          <w:kern w:val="0"/>
          <w:sz w:val="30"/>
          <w:szCs w:val="30"/>
          <w:lang w:val="zh-CN"/>
        </w:rPr>
        <w:t>乡村规划“一师两员”制度试点，</w:t>
      </w:r>
      <w:r>
        <w:rPr>
          <w:rFonts w:hint="eastAsia" w:ascii="仿宋" w:hAnsi="仿宋" w:eastAsia="仿宋" w:cs="仿宋"/>
          <w:bCs/>
          <w:kern w:val="0"/>
          <w:sz w:val="30"/>
          <w:szCs w:val="30"/>
        </w:rPr>
        <w:t>建立了村庄规划编制管理台帐，赫山区国土空间规划体系逐步完善。</w:t>
      </w:r>
    </w:p>
    <w:p w14:paraId="4F16F713">
      <w:pPr>
        <w:spacing w:line="600" w:lineRule="exact"/>
        <w:ind w:firstLine="600" w:firstLineChars="200"/>
        <w:rPr>
          <w:rFonts w:ascii="仿宋" w:hAnsi="仿宋" w:eastAsia="仿宋" w:cs="仿宋"/>
          <w:sz w:val="30"/>
          <w:szCs w:val="30"/>
        </w:rPr>
      </w:pPr>
      <w:r>
        <w:rPr>
          <w:rFonts w:hint="eastAsia" w:ascii="仿宋" w:hAnsi="仿宋" w:eastAsia="仿宋" w:cs="仿宋"/>
          <w:bCs/>
          <w:sz w:val="30"/>
          <w:szCs w:val="30"/>
        </w:rPr>
        <w:t>（2）规划编制初具成效。</w:t>
      </w:r>
      <w:r>
        <w:rPr>
          <w:rFonts w:hint="eastAsia" w:ascii="仿宋" w:hAnsi="仿宋" w:eastAsia="仿宋" w:cs="仿宋"/>
          <w:bCs/>
          <w:kern w:val="0"/>
          <w:sz w:val="30"/>
          <w:szCs w:val="30"/>
        </w:rPr>
        <w:t>完成了兰溪镇空间规划编制</w:t>
      </w:r>
      <w:r>
        <w:rPr>
          <w:rFonts w:hint="eastAsia" w:ascii="仿宋" w:hAnsi="仿宋" w:eastAsia="仿宋" w:cs="仿宋"/>
          <w:bCs/>
          <w:sz w:val="30"/>
          <w:szCs w:val="30"/>
        </w:rPr>
        <w:t>初步方案，</w:t>
      </w:r>
      <w:r>
        <w:rPr>
          <w:rFonts w:hint="eastAsia" w:ascii="仿宋" w:hAnsi="仿宋" w:eastAsia="仿宋" w:cs="仿宋"/>
          <w:bCs/>
          <w:kern w:val="0"/>
          <w:sz w:val="30"/>
          <w:szCs w:val="30"/>
        </w:rPr>
        <w:t>修改完善了沧水铺镇等5个</w:t>
      </w:r>
      <w:r>
        <w:rPr>
          <w:rFonts w:hint="eastAsia" w:ascii="仿宋" w:hAnsi="仿宋" w:eastAsia="仿宋" w:cs="仿宋"/>
          <w:kern w:val="0"/>
          <w:sz w:val="30"/>
          <w:szCs w:val="30"/>
        </w:rPr>
        <w:t>乡镇的控制性详细规划，</w:t>
      </w:r>
    </w:p>
    <w:p w14:paraId="59431D4C">
      <w:pPr>
        <w:spacing w:line="600" w:lineRule="exact"/>
        <w:ind w:firstLine="600" w:firstLineChars="200"/>
        <w:rPr>
          <w:rFonts w:ascii="仿宋" w:hAnsi="仿宋" w:eastAsia="仿宋" w:cs="仿宋"/>
          <w:sz w:val="30"/>
          <w:szCs w:val="30"/>
        </w:rPr>
      </w:pPr>
      <w:r>
        <w:rPr>
          <w:rFonts w:hint="eastAsia" w:ascii="仿宋" w:hAnsi="仿宋" w:eastAsia="仿宋" w:cs="仿宋"/>
          <w:kern w:val="0"/>
          <w:sz w:val="30"/>
          <w:szCs w:val="30"/>
        </w:rPr>
        <w:t>启动了</w:t>
      </w:r>
      <w:r>
        <w:rPr>
          <w:rFonts w:hint="eastAsia" w:ascii="仿宋" w:hAnsi="仿宋" w:eastAsia="仿宋" w:cs="仿宋"/>
          <w:sz w:val="30"/>
          <w:szCs w:val="30"/>
        </w:rPr>
        <w:t>乡村振兴示范村、省级乡村振兴重点帮扶村等62个村的村庄规划，目前兰溪镇沙岭村等33个村的村庄规划已形成初步方案，龙光桥街道道子坪村等29个村村庄规划已完成基础调研。《泉交河镇五村连片示范区村庄规划》获2021年湖南省国土空间优秀案例一等奖，并</w:t>
      </w:r>
      <w:r>
        <w:rPr>
          <w:rFonts w:hint="eastAsia" w:ascii="仿宋" w:hAnsi="仿宋" w:eastAsia="仿宋" w:cs="仿宋"/>
          <w:color w:val="000000"/>
          <w:kern w:val="0"/>
          <w:sz w:val="30"/>
          <w:szCs w:val="30"/>
          <w:lang w:val="zh-CN"/>
        </w:rPr>
        <w:t>在“诗意村庄 烟火街巷”第二届湖南省国土空间规划优秀案例展中作为“乡村建设及特色小镇类”典型案例特别展出。</w:t>
      </w:r>
    </w:p>
    <w:p w14:paraId="20152B13">
      <w:pPr>
        <w:spacing w:line="600" w:lineRule="exact"/>
        <w:ind w:firstLine="600" w:firstLineChars="200"/>
        <w:rPr>
          <w:rFonts w:ascii="仿宋" w:hAnsi="仿宋" w:eastAsia="仿宋" w:cs="仿宋"/>
          <w:bCs/>
          <w:kern w:val="0"/>
          <w:sz w:val="30"/>
          <w:szCs w:val="30"/>
        </w:rPr>
      </w:pPr>
      <w:r>
        <w:rPr>
          <w:rFonts w:hint="eastAsia" w:ascii="仿宋" w:hAnsi="仿宋" w:eastAsia="仿宋" w:cs="仿宋"/>
          <w:bCs/>
          <w:sz w:val="30"/>
          <w:szCs w:val="30"/>
        </w:rPr>
        <w:t>（3）“三线”划定稳步推进。</w:t>
      </w:r>
      <w:r>
        <w:rPr>
          <w:rFonts w:hint="eastAsia" w:ascii="仿宋" w:hAnsi="仿宋" w:eastAsia="仿宋" w:cs="仿宋"/>
          <w:bCs/>
          <w:color w:val="000000"/>
          <w:sz w:val="30"/>
          <w:szCs w:val="30"/>
        </w:rPr>
        <w:t>开展了“三条控制线”划定试点，目前划定永久基本农田面积35900公顷，达到了第二轮试划的保护目标；划定生态保护红线面积</w:t>
      </w:r>
      <w:r>
        <w:rPr>
          <w:rFonts w:hint="eastAsia" w:ascii="仿宋" w:hAnsi="仿宋" w:eastAsia="仿宋" w:cs="仿宋"/>
          <w:bCs/>
          <w:kern w:val="0"/>
          <w:sz w:val="30"/>
          <w:szCs w:val="30"/>
        </w:rPr>
        <w:t>1845.0公顷</w:t>
      </w:r>
      <w:r>
        <w:rPr>
          <w:rFonts w:hint="eastAsia" w:ascii="仿宋" w:hAnsi="仿宋" w:eastAsia="仿宋" w:cs="仿宋"/>
          <w:bCs/>
          <w:color w:val="000000"/>
          <w:sz w:val="30"/>
          <w:szCs w:val="30"/>
        </w:rPr>
        <w:t>，</w:t>
      </w:r>
      <w:r>
        <w:rPr>
          <w:rFonts w:hint="eastAsia" w:ascii="仿宋" w:hAnsi="仿宋" w:eastAsia="仿宋" w:cs="仿宋"/>
          <w:bCs/>
          <w:kern w:val="0"/>
          <w:sz w:val="30"/>
          <w:szCs w:val="30"/>
        </w:rPr>
        <w:t>占国土总面积1.44%；划定</w:t>
      </w:r>
      <w:r>
        <w:rPr>
          <w:rFonts w:hint="eastAsia" w:ascii="仿宋" w:hAnsi="仿宋" w:eastAsia="仿宋" w:cs="仿宋"/>
          <w:bCs/>
          <w:color w:val="000000"/>
          <w:sz w:val="30"/>
          <w:szCs w:val="30"/>
        </w:rPr>
        <w:t>城镇开发边界线规模129.07公顷，</w:t>
      </w:r>
      <w:r>
        <w:rPr>
          <w:rFonts w:hint="eastAsia" w:ascii="仿宋" w:hAnsi="仿宋" w:eastAsia="仿宋" w:cs="仿宋"/>
          <w:bCs/>
          <w:kern w:val="0"/>
          <w:sz w:val="30"/>
          <w:szCs w:val="30"/>
        </w:rPr>
        <w:t>科学合理的预留了“十四五”重点建设项目、重大基础设施及民生工程等重点项目建设用地规模。</w:t>
      </w:r>
    </w:p>
    <w:p w14:paraId="48F749F8">
      <w:pPr>
        <w:spacing w:line="600" w:lineRule="exact"/>
        <w:ind w:firstLine="600" w:firstLineChars="200"/>
        <w:rPr>
          <w:rFonts w:ascii="仿宋" w:hAnsi="仿宋" w:eastAsia="仿宋" w:cs="仿宋"/>
          <w:bCs/>
          <w:color w:val="000000"/>
          <w:sz w:val="30"/>
          <w:szCs w:val="30"/>
        </w:rPr>
      </w:pPr>
      <w:r>
        <w:rPr>
          <w:rFonts w:hint="eastAsia" w:ascii="仿宋" w:hAnsi="仿宋" w:eastAsia="仿宋" w:cs="仿宋"/>
          <w:bCs/>
          <w:sz w:val="30"/>
          <w:szCs w:val="30"/>
        </w:rPr>
        <w:t>（4）用地报批再创佳绩。</w:t>
      </w:r>
      <w:r>
        <w:rPr>
          <w:rFonts w:hint="eastAsia" w:ascii="仿宋" w:hAnsi="仿宋" w:eastAsia="仿宋" w:cs="仿宋"/>
          <w:bCs/>
          <w:color w:val="000000"/>
          <w:sz w:val="30"/>
          <w:szCs w:val="30"/>
        </w:rPr>
        <w:t>继续发挥土地报批联席会议作用，围绕高质量发展优先保障五项重点项目用地，2021年共上报省审批项目31个，面积203.88公顷（合3058.2亩），保障了隆平高科、万洋众创二期、宁韶高速安置基地等民生项目、重点项目用地。</w:t>
      </w:r>
    </w:p>
    <w:p w14:paraId="72FBA0D7">
      <w:pPr>
        <w:spacing w:line="600" w:lineRule="exact"/>
        <w:ind w:firstLine="600" w:firstLineChars="200"/>
        <w:rPr>
          <w:rFonts w:ascii="仿宋" w:hAnsi="仿宋" w:eastAsia="仿宋" w:cs="仿宋"/>
          <w:bCs/>
          <w:color w:val="000000"/>
          <w:sz w:val="30"/>
          <w:szCs w:val="30"/>
        </w:rPr>
      </w:pPr>
      <w:r>
        <w:rPr>
          <w:rFonts w:hint="eastAsia" w:ascii="仿宋" w:hAnsi="仿宋" w:eastAsia="仿宋" w:cs="仿宋"/>
          <w:bCs/>
          <w:sz w:val="30"/>
          <w:szCs w:val="30"/>
        </w:rPr>
        <w:t>（5）土地供应更具活力。</w:t>
      </w:r>
      <w:r>
        <w:rPr>
          <w:rFonts w:hint="eastAsia" w:ascii="仿宋" w:hAnsi="仿宋" w:eastAsia="仿宋" w:cs="仿宋"/>
          <w:bCs/>
          <w:color w:val="000000"/>
          <w:sz w:val="30"/>
          <w:szCs w:val="30"/>
        </w:rPr>
        <w:t>继续完善土地供应例会制度，加快土地供应步伐，2021年共供应土地97宗305公顷，其中出让土地55宗，面积91.39公顷，成交价款6.85亿元；划拨土地42宗，面积214.31公顷。</w:t>
      </w:r>
    </w:p>
    <w:p w14:paraId="0F47727C">
      <w:pPr>
        <w:spacing w:line="600" w:lineRule="exact"/>
        <w:ind w:firstLine="600" w:firstLineChars="200"/>
        <w:rPr>
          <w:rFonts w:ascii="仿宋" w:hAnsi="仿宋" w:eastAsia="仿宋" w:cs="仿宋"/>
          <w:bCs/>
          <w:color w:val="000000"/>
          <w:sz w:val="30"/>
          <w:szCs w:val="30"/>
        </w:rPr>
      </w:pPr>
      <w:r>
        <w:rPr>
          <w:rFonts w:hint="eastAsia" w:ascii="仿宋" w:hAnsi="仿宋" w:eastAsia="仿宋" w:cs="仿宋"/>
          <w:bCs/>
          <w:sz w:val="30"/>
          <w:szCs w:val="30"/>
        </w:rPr>
        <w:t>（6）盘活存量成效显著</w:t>
      </w:r>
      <w:r>
        <w:rPr>
          <w:rFonts w:hint="eastAsia" w:ascii="仿宋" w:hAnsi="仿宋" w:eastAsia="仿宋" w:cs="仿宋"/>
          <w:bCs/>
          <w:color w:val="000000"/>
          <w:sz w:val="30"/>
          <w:szCs w:val="30"/>
        </w:rPr>
        <w:t>。</w:t>
      </w:r>
      <w:r>
        <w:rPr>
          <w:rFonts w:hint="eastAsia" w:ascii="仿宋" w:hAnsi="仿宋" w:eastAsia="仿宋" w:cs="仿宋"/>
          <w:bCs/>
          <w:sz w:val="30"/>
          <w:szCs w:val="30"/>
        </w:rPr>
        <w:t>扎实开展月清“三地两矿”工作，全力消化批而未供土地，盘活闲置土地，再开发低效用地，</w:t>
      </w:r>
      <w:r>
        <w:rPr>
          <w:rFonts w:hint="eastAsia" w:ascii="仿宋" w:hAnsi="仿宋" w:eastAsia="仿宋" w:cs="仿宋"/>
          <w:bCs/>
          <w:color w:val="000000"/>
          <w:sz w:val="30"/>
          <w:szCs w:val="30"/>
        </w:rPr>
        <w:t>大力提升土地节约集约利用水平。2021年</w:t>
      </w:r>
      <w:r>
        <w:rPr>
          <w:rFonts w:hint="eastAsia" w:ascii="仿宋" w:hAnsi="仿宋" w:eastAsia="仿宋" w:cs="仿宋"/>
          <w:bCs/>
          <w:sz w:val="30"/>
          <w:szCs w:val="30"/>
        </w:rPr>
        <w:t>共处置批而未供土地295.53公顷，处置闲置土地33宗89.27公顷。</w:t>
      </w:r>
    </w:p>
    <w:p w14:paraId="663BA019">
      <w:pPr>
        <w:spacing w:line="600" w:lineRule="exact"/>
        <w:ind w:firstLine="600" w:firstLineChars="200"/>
        <w:rPr>
          <w:rFonts w:ascii="仿宋" w:hAnsi="仿宋" w:eastAsia="仿宋" w:cs="仿宋"/>
          <w:bCs/>
          <w:color w:val="000000"/>
          <w:kern w:val="0"/>
          <w:sz w:val="30"/>
          <w:szCs w:val="30"/>
        </w:rPr>
      </w:pPr>
      <w:r>
        <w:rPr>
          <w:rFonts w:hint="eastAsia" w:ascii="仿宋" w:hAnsi="仿宋" w:eastAsia="仿宋" w:cs="仿宋"/>
          <w:bCs/>
          <w:color w:val="000000"/>
          <w:kern w:val="0"/>
          <w:sz w:val="30"/>
          <w:szCs w:val="30"/>
        </w:rPr>
        <w:t>（7）耕地保护扎实有效。认真贯彻落实习近平总书记重要讲话精神，坚决履行耕地保护目标责任，</w:t>
      </w:r>
      <w:r>
        <w:rPr>
          <w:rFonts w:hint="eastAsia" w:ascii="仿宋" w:hAnsi="仿宋" w:eastAsia="仿宋" w:cs="仿宋"/>
          <w:bCs/>
          <w:color w:val="000000"/>
          <w:sz w:val="30"/>
          <w:szCs w:val="30"/>
        </w:rPr>
        <w:t>严格落实耕地占补平衡制度，</w:t>
      </w:r>
      <w:r>
        <w:rPr>
          <w:rFonts w:hint="eastAsia" w:ascii="仿宋" w:hAnsi="仿宋" w:eastAsia="仿宋" w:cs="仿宋"/>
          <w:bCs/>
          <w:color w:val="000000"/>
          <w:kern w:val="0"/>
          <w:sz w:val="30"/>
          <w:szCs w:val="30"/>
        </w:rPr>
        <w:t>2021年我区新增建设用地占用耕地22.4318公顷，全部做到了“占一补一、占优补优、占水田补水田”。</w:t>
      </w:r>
    </w:p>
    <w:p w14:paraId="3BC4D52B">
      <w:pPr>
        <w:spacing w:line="600" w:lineRule="exact"/>
        <w:ind w:firstLine="600" w:firstLineChars="200"/>
        <w:rPr>
          <w:rFonts w:ascii="仿宋" w:hAnsi="仿宋" w:eastAsia="仿宋" w:cs="仿宋"/>
          <w:bCs/>
          <w:color w:val="000000"/>
          <w:sz w:val="30"/>
          <w:szCs w:val="30"/>
        </w:rPr>
      </w:pPr>
      <w:r>
        <w:rPr>
          <w:rFonts w:hint="eastAsia" w:ascii="仿宋" w:hAnsi="仿宋" w:eastAsia="仿宋" w:cs="仿宋"/>
          <w:bCs/>
          <w:color w:val="000000"/>
          <w:sz w:val="30"/>
          <w:szCs w:val="30"/>
        </w:rPr>
        <w:t>（8）土地开发整理卓有成效。启动了村民和农村集体经济组织自行开垦耕地工作，已选定13个乡镇（街道、园区）418个地块831.29亩作为开发地块，预计可补充耕地指标480亩。完成了兰溪镇兰州村等12个补充耕地项目指标报备入库工作，入库耕地数量45.7838公顷、水田规模45.7838公顷、粮食产能546551公斤。</w:t>
      </w:r>
    </w:p>
    <w:p w14:paraId="5692EA65">
      <w:pPr>
        <w:spacing w:line="600" w:lineRule="exact"/>
        <w:ind w:firstLine="600" w:firstLineChars="200"/>
        <w:rPr>
          <w:rFonts w:ascii="仿宋" w:hAnsi="仿宋" w:eastAsia="仿宋" w:cs="仿宋"/>
          <w:bCs/>
          <w:color w:val="000000"/>
          <w:sz w:val="30"/>
          <w:szCs w:val="30"/>
        </w:rPr>
      </w:pPr>
      <w:r>
        <w:rPr>
          <w:rFonts w:hint="eastAsia" w:ascii="仿宋" w:hAnsi="仿宋" w:eastAsia="仿宋" w:cs="仿宋"/>
          <w:bCs/>
          <w:color w:val="000000"/>
          <w:sz w:val="30"/>
          <w:szCs w:val="30"/>
        </w:rPr>
        <w:t>（9）全域土地整治有序推进。兰溪镇全域土地综合整治试点项目已形成实施方案初步方案，待市自然资源和规划局与省自然资源厅审批，启动了沙岭村和北岸新村的整治工作</w:t>
      </w:r>
      <w:r>
        <w:rPr>
          <w:rFonts w:hint="eastAsia" w:ascii="仿宋" w:hAnsi="仿宋" w:eastAsia="仿宋" w:cs="仿宋"/>
          <w:bCs/>
          <w:kern w:val="0"/>
          <w:sz w:val="30"/>
          <w:szCs w:val="30"/>
          <w:lang w:val="zh-CN"/>
        </w:rPr>
        <w:t>。</w:t>
      </w:r>
    </w:p>
    <w:p w14:paraId="2A29E9FE">
      <w:pPr>
        <w:spacing w:line="600" w:lineRule="exact"/>
        <w:ind w:firstLine="600" w:firstLineChars="200"/>
        <w:rPr>
          <w:rFonts w:ascii="仿宋" w:hAnsi="仿宋" w:eastAsia="仿宋" w:cs="仿宋"/>
          <w:bCs/>
          <w:sz w:val="30"/>
          <w:szCs w:val="30"/>
        </w:rPr>
      </w:pPr>
      <w:r>
        <w:rPr>
          <w:rFonts w:hint="eastAsia" w:ascii="仿宋" w:hAnsi="仿宋" w:eastAsia="仿宋" w:cs="仿宋"/>
          <w:bCs/>
          <w:color w:val="000000"/>
          <w:kern w:val="0"/>
          <w:sz w:val="30"/>
          <w:szCs w:val="30"/>
        </w:rPr>
        <w:t>（10）监察执法更加有力。</w:t>
      </w:r>
      <w:r>
        <w:rPr>
          <w:rFonts w:hint="eastAsia" w:ascii="仿宋" w:hAnsi="仿宋" w:eastAsia="仿宋" w:cs="仿宋"/>
          <w:bCs/>
          <w:sz w:val="30"/>
          <w:szCs w:val="30"/>
        </w:rPr>
        <w:t>大力开展违法用地清查整治，全力开展月清“三地”、大棚房专项整治、违建别墅问题清查整治、农村村民乱占耕地建房问题摸排、耕地保护督察反馈问题整改等专项整治，</w:t>
      </w:r>
      <w:r>
        <w:rPr>
          <w:rFonts w:hint="eastAsia" w:ascii="仿宋" w:hAnsi="仿宋" w:eastAsia="仿宋" w:cs="仿宋"/>
          <w:bCs/>
          <w:color w:val="000000"/>
          <w:kern w:val="0"/>
          <w:sz w:val="30"/>
          <w:szCs w:val="30"/>
        </w:rPr>
        <w:t>全年</w:t>
      </w:r>
      <w:r>
        <w:rPr>
          <w:rFonts w:hint="eastAsia" w:ascii="仿宋" w:hAnsi="仿宋" w:eastAsia="仿宋" w:cs="仿宋"/>
          <w:bCs/>
          <w:color w:val="000000"/>
          <w:sz w:val="30"/>
          <w:szCs w:val="30"/>
        </w:rPr>
        <w:t>发现违法行为56起，立案查处26宗，上缴财政罚没款200万余元；农村村民乱占耕地建房问题整治摸排涉及赫山区</w:t>
      </w:r>
      <w:r>
        <w:rPr>
          <w:rFonts w:hint="eastAsia" w:ascii="仿宋" w:hAnsi="仿宋" w:eastAsia="仿宋" w:cs="仿宋"/>
          <w:bCs/>
          <w:sz w:val="30"/>
          <w:szCs w:val="30"/>
        </w:rPr>
        <w:t>2020年7月3日以后新增农村乱占耕地建房问题81个，已拆除复耕11户，完善建房手续70个。</w:t>
      </w:r>
    </w:p>
    <w:p w14:paraId="27F6F5E2">
      <w:pPr>
        <w:pStyle w:val="2"/>
        <w:spacing w:line="600" w:lineRule="exact"/>
        <w:ind w:firstLine="600"/>
        <w:rPr>
          <w:rFonts w:ascii="仿宋" w:hAnsi="仿宋" w:eastAsia="仿宋" w:cs="仿宋"/>
          <w:bCs/>
          <w:color w:val="000000"/>
          <w:sz w:val="30"/>
          <w:szCs w:val="30"/>
        </w:rPr>
      </w:pPr>
      <w:r>
        <w:rPr>
          <w:rFonts w:hint="eastAsia" w:ascii="仿宋" w:hAnsi="仿宋" w:eastAsia="仿宋" w:cs="仿宋"/>
          <w:bCs/>
          <w:color w:val="000000"/>
          <w:sz w:val="30"/>
          <w:szCs w:val="30"/>
        </w:rPr>
        <w:t>（11）地灾防治常态长效。我局不断强化底线思维和风险意识，全面摸底地质灾害隐患，进一步优化“人防+技防”防治网络，动态调整了48个隐患点群测群防员名单，完成了12处地质灾害隐患普适型预警和1处综合性监测预警监测设备安装。全年开展巡查排查48次，督导18批次，成功应对3轮强降雨，避让了泥江口镇泥家潭村、谷塘村2起山体滑坡地质灾害，</w:t>
      </w:r>
      <w:r>
        <w:rPr>
          <w:rFonts w:hint="eastAsia" w:ascii="仿宋" w:hAnsi="仿宋" w:eastAsia="仿宋" w:cs="仿宋"/>
          <w:bCs/>
          <w:color w:val="000000"/>
          <w:kern w:val="0"/>
          <w:sz w:val="30"/>
          <w:szCs w:val="30"/>
        </w:rPr>
        <w:t>完成48户搬迁避让，完成了30个中小型地质灾害隐患点的应急除险。</w:t>
      </w:r>
    </w:p>
    <w:p w14:paraId="6B449B87">
      <w:pPr>
        <w:spacing w:line="600" w:lineRule="exact"/>
        <w:ind w:firstLine="600" w:firstLineChars="200"/>
        <w:rPr>
          <w:rFonts w:ascii="仿宋" w:hAnsi="仿宋" w:eastAsia="仿宋" w:cs="仿宋"/>
          <w:bCs/>
          <w:color w:val="000000"/>
          <w:sz w:val="30"/>
          <w:szCs w:val="30"/>
        </w:rPr>
      </w:pPr>
      <w:r>
        <w:rPr>
          <w:rFonts w:hint="eastAsia" w:ascii="仿宋" w:hAnsi="仿宋" w:eastAsia="仿宋" w:cs="仿宋"/>
          <w:bCs/>
          <w:color w:val="000000"/>
          <w:sz w:val="30"/>
          <w:szCs w:val="30"/>
        </w:rPr>
        <w:t>（12）行政审批提质增速。深入开展“三集中三到位”、“最多跑一次”等改革，持续推进政务窗口的“五化”建设，全面提升政务服务水平，全年共办理不动产登记2508件，核发规划一书三证128本。切实优化营商环境，主动上门了解区帮扶办交办的6个帮扶企业诉求，制定精准帮扶问题清单，积极解决企业在办理相关手续或建设过程中遇到的困难。积极推进政务服务向基层延伸，将宅基地使用权等3个行政审批事项服务前移至乡镇，将用地预审与选址意见书等11个行政审批事项服务前移至龙岭工业集中区。</w:t>
      </w:r>
    </w:p>
    <w:p w14:paraId="430646C3">
      <w:pPr>
        <w:spacing w:line="600" w:lineRule="exact"/>
        <w:ind w:firstLine="600" w:firstLineChars="200"/>
        <w:rPr>
          <w:rFonts w:ascii="仿宋" w:hAnsi="仿宋" w:eastAsia="仿宋" w:cs="仿宋"/>
          <w:bCs/>
          <w:kern w:val="0"/>
          <w:sz w:val="30"/>
          <w:szCs w:val="30"/>
          <w:lang w:val="zh-CN"/>
        </w:rPr>
      </w:pPr>
      <w:r>
        <w:rPr>
          <w:rFonts w:hint="eastAsia" w:ascii="仿宋" w:hAnsi="仿宋" w:eastAsia="仿宋" w:cs="仿宋"/>
          <w:bCs/>
          <w:color w:val="000000"/>
          <w:sz w:val="30"/>
          <w:szCs w:val="30"/>
        </w:rPr>
        <w:t>（13）</w:t>
      </w:r>
      <w:r>
        <w:rPr>
          <w:rFonts w:hint="eastAsia" w:ascii="仿宋" w:hAnsi="仿宋" w:eastAsia="仿宋" w:cs="仿宋"/>
          <w:bCs/>
          <w:kern w:val="0"/>
          <w:sz w:val="30"/>
          <w:szCs w:val="30"/>
          <w:lang w:val="zh-CN"/>
        </w:rPr>
        <w:t>房地一体胜利在望。</w:t>
      </w:r>
      <w:r>
        <w:rPr>
          <w:rFonts w:hint="eastAsia" w:ascii="仿宋" w:hAnsi="仿宋" w:eastAsia="仿宋" w:cs="仿宋"/>
          <w:bCs/>
          <w:sz w:val="30"/>
          <w:szCs w:val="30"/>
        </w:rPr>
        <w:t>赫山区农村宅基地实际调查总宗地数138804宗，集体建设用地实际调查总宗地数713宗，截至目前，</w:t>
      </w:r>
      <w:r>
        <w:rPr>
          <w:rFonts w:hint="eastAsia" w:ascii="仿宋" w:hAnsi="仿宋" w:eastAsia="仿宋" w:cs="仿宋"/>
          <w:bCs/>
          <w:kern w:val="0"/>
          <w:sz w:val="30"/>
          <w:szCs w:val="30"/>
          <w:lang w:val="zh-CN"/>
        </w:rPr>
        <w:t>已完成落宗登记100624宗，发放不动产权证8.2万本，提前完成城镇范围外的登记任务，</w:t>
      </w:r>
      <w:r>
        <w:rPr>
          <w:rFonts w:hint="eastAsia" w:ascii="仿宋" w:hAnsi="仿宋" w:eastAsia="仿宋" w:cs="仿宋"/>
          <w:bCs/>
          <w:sz w:val="30"/>
          <w:szCs w:val="30"/>
        </w:rPr>
        <w:t>预计年底前能全面完成任务。</w:t>
      </w:r>
    </w:p>
    <w:p w14:paraId="05439240">
      <w:pPr>
        <w:autoSpaceDE w:val="0"/>
        <w:autoSpaceDN w:val="0"/>
        <w:adjustRightInd w:val="0"/>
        <w:spacing w:line="600" w:lineRule="exact"/>
        <w:ind w:firstLine="600" w:firstLineChars="200"/>
        <w:rPr>
          <w:rFonts w:ascii="仿宋" w:hAnsi="仿宋" w:eastAsia="仿宋" w:cs="仿宋"/>
          <w:bCs/>
          <w:color w:val="000000"/>
          <w:sz w:val="30"/>
          <w:szCs w:val="30"/>
        </w:rPr>
      </w:pPr>
      <w:r>
        <w:rPr>
          <w:rFonts w:hint="eastAsia" w:ascii="仿宋" w:hAnsi="仿宋" w:eastAsia="仿宋" w:cs="仿宋"/>
          <w:bCs/>
          <w:color w:val="000000"/>
          <w:sz w:val="30"/>
          <w:szCs w:val="30"/>
        </w:rPr>
        <w:t>（14）党建工作落地见效。认真开展了党的十九届五中、六中全会精神学习和</w:t>
      </w:r>
      <w:r>
        <w:rPr>
          <w:rFonts w:hint="eastAsia" w:ascii="仿宋" w:hAnsi="仿宋" w:eastAsia="仿宋" w:cs="仿宋"/>
          <w:bCs/>
          <w:color w:val="000000"/>
          <w:sz w:val="30"/>
          <w:szCs w:val="30"/>
          <w:lang w:eastAsia="zh-CN"/>
        </w:rPr>
        <w:t>党史学习教育</w:t>
      </w:r>
      <w:r>
        <w:rPr>
          <w:rFonts w:hint="eastAsia" w:ascii="仿宋" w:hAnsi="仿宋" w:eastAsia="仿宋" w:cs="仿宋"/>
          <w:bCs/>
          <w:color w:val="000000"/>
          <w:sz w:val="30"/>
          <w:szCs w:val="30"/>
        </w:rPr>
        <w:t>，组织了学史明理、学史增信、学史崇德、学史力行专题党课，开展了“我为群众办实事”系列活动，充分发挥党建文化软实力优势，努力营造“以党建促发展、用发展强党建”的党建工作生态。</w:t>
      </w:r>
    </w:p>
    <w:p w14:paraId="02A311EB">
      <w:pPr>
        <w:autoSpaceDE w:val="0"/>
        <w:autoSpaceDN w:val="0"/>
        <w:adjustRightInd w:val="0"/>
        <w:spacing w:line="600" w:lineRule="exact"/>
        <w:ind w:firstLine="600" w:firstLineChars="200"/>
        <w:rPr>
          <w:rFonts w:ascii="仿宋" w:hAnsi="仿宋" w:eastAsia="仿宋" w:cs="仿宋"/>
          <w:bCs/>
          <w:color w:val="000000"/>
          <w:sz w:val="30"/>
          <w:szCs w:val="30"/>
        </w:rPr>
      </w:pPr>
      <w:r>
        <w:rPr>
          <w:rFonts w:hint="eastAsia" w:ascii="仿宋" w:hAnsi="仿宋" w:eastAsia="仿宋" w:cs="仿宋"/>
          <w:bCs/>
          <w:color w:val="000000"/>
          <w:sz w:val="30"/>
          <w:szCs w:val="30"/>
        </w:rPr>
        <w:t>（15）作风建设再上台阶。认真开展了巡查整改，对照区委第二巡察组巡查反馈意见，制定了整改方案，逐步解决问题，目前12个问题已整改到位并长期坚持，1个问题正在持续整改。开展了领导干部违规插手干预金融活动谋利自查自纠、移动互联网应用程序集中整治、纠“四风”反弹回潮专项整治等专项整治，全年共开展谈心谈话30余次，</w:t>
      </w:r>
      <w:r>
        <w:rPr>
          <w:rFonts w:hint="eastAsia" w:ascii="仿宋" w:hAnsi="仿宋" w:eastAsia="仿宋" w:cs="仿宋"/>
          <w:bCs/>
          <w:sz w:val="30"/>
          <w:szCs w:val="30"/>
        </w:rPr>
        <w:t>配合区纪委调查处理不当行为7人次</w:t>
      </w:r>
      <w:r>
        <w:rPr>
          <w:rFonts w:hint="eastAsia" w:ascii="仿宋" w:hAnsi="仿宋" w:eastAsia="仿宋" w:cs="仿宋"/>
          <w:bCs/>
          <w:color w:val="000000"/>
          <w:sz w:val="30"/>
          <w:szCs w:val="30"/>
        </w:rPr>
        <w:t>，进一步</w:t>
      </w:r>
      <w:r>
        <w:rPr>
          <w:rFonts w:hint="eastAsia" w:ascii="仿宋" w:hAnsi="仿宋" w:eastAsia="仿宋" w:cs="仿宋"/>
          <w:bCs/>
          <w:sz w:val="30"/>
          <w:szCs w:val="30"/>
          <w:lang w:val="zh-CN"/>
        </w:rPr>
        <w:t>提高了干职工的廉政意</w:t>
      </w:r>
      <w:r>
        <w:rPr>
          <w:rFonts w:hint="eastAsia" w:ascii="仿宋" w:hAnsi="仿宋" w:eastAsia="仿宋" w:cs="仿宋"/>
          <w:bCs/>
          <w:color w:val="000000"/>
          <w:sz w:val="30"/>
          <w:szCs w:val="30"/>
        </w:rPr>
        <w:t>识和规矩意识，加强了机关效能建设。</w:t>
      </w:r>
    </w:p>
    <w:p w14:paraId="5BDC5417">
      <w:pPr>
        <w:autoSpaceDE w:val="0"/>
        <w:autoSpaceDN w:val="0"/>
        <w:adjustRightInd w:val="0"/>
        <w:spacing w:line="600" w:lineRule="exact"/>
        <w:ind w:firstLine="600" w:firstLineChars="200"/>
        <w:rPr>
          <w:rFonts w:ascii="仿宋" w:hAnsi="仿宋" w:eastAsia="仿宋" w:cs="仿宋"/>
          <w:color w:val="000000"/>
          <w:sz w:val="30"/>
          <w:szCs w:val="30"/>
        </w:rPr>
      </w:pPr>
      <w:r>
        <w:rPr>
          <w:rFonts w:hint="eastAsia" w:ascii="仿宋" w:hAnsi="仿宋" w:eastAsia="仿宋" w:cs="仿宋"/>
          <w:bCs/>
          <w:color w:val="000000"/>
          <w:sz w:val="30"/>
          <w:szCs w:val="30"/>
        </w:rPr>
        <w:t>（16）法治建设巩固提升。制定《干部职工学法计划》，利用会前学法、法制讲座学法、重大决策前专题学法等形式，加强法律法规学习，2021年学法考法通过率100%。落实“谁执法谁普法”责任制，利用 “4·22”世界地球日、“6·25” 全国土地日、“8·29”测绘法宣传日等契机，开展自然资源法治</w:t>
      </w:r>
      <w:r>
        <w:rPr>
          <w:rFonts w:hint="eastAsia" w:ascii="仿宋" w:hAnsi="仿宋" w:eastAsia="仿宋" w:cs="仿宋"/>
          <w:color w:val="000000"/>
          <w:sz w:val="30"/>
          <w:szCs w:val="30"/>
        </w:rPr>
        <w:t>宣传。建立健全法律顾问制度，履行行政复议及行政诉讼职责，全年开展行政复议18件，行政诉讼16件，民事诉讼12 件。</w:t>
      </w:r>
    </w:p>
    <w:p w14:paraId="10863FE2">
      <w:pPr>
        <w:autoSpaceDE w:val="0"/>
        <w:autoSpaceDN w:val="0"/>
        <w:adjustRightInd w:val="0"/>
        <w:spacing w:line="600" w:lineRule="exact"/>
        <w:ind w:firstLine="600" w:firstLineChars="200"/>
        <w:rPr>
          <w:rFonts w:ascii="仿宋" w:hAnsi="仿宋" w:eastAsia="仿宋" w:cs="仿宋"/>
          <w:color w:val="000000"/>
          <w:sz w:val="30"/>
          <w:szCs w:val="30"/>
          <w:lang w:val="zh-CN"/>
        </w:rPr>
      </w:pPr>
      <w:r>
        <w:rPr>
          <w:rFonts w:hint="eastAsia" w:ascii="仿宋" w:hAnsi="仿宋" w:eastAsia="仿宋" w:cs="仿宋"/>
          <w:color w:val="000000"/>
          <w:sz w:val="30"/>
          <w:szCs w:val="30"/>
          <w:lang w:val="zh-CN"/>
        </w:rPr>
        <w:t>此外，政务公开、平安建设、扫黑除恶、档案信息、创建全国文明城市、保密、老干、计生等各项工作也同步推进，成效显著。</w:t>
      </w:r>
    </w:p>
    <w:p w14:paraId="4F2118E1">
      <w:pPr>
        <w:spacing w:line="600" w:lineRule="exact"/>
        <w:ind w:firstLine="602" w:firstLineChars="200"/>
        <w:outlineLvl w:val="0"/>
        <w:rPr>
          <w:rFonts w:ascii="仿宋" w:hAnsi="仿宋" w:eastAsia="仿宋" w:cs="仿宋"/>
          <w:b/>
          <w:sz w:val="30"/>
          <w:szCs w:val="30"/>
        </w:rPr>
      </w:pPr>
      <w:r>
        <w:rPr>
          <w:rFonts w:hint="eastAsia" w:ascii="仿宋" w:hAnsi="仿宋" w:eastAsia="仿宋" w:cs="仿宋"/>
          <w:b/>
          <w:sz w:val="30"/>
          <w:szCs w:val="30"/>
        </w:rPr>
        <w:t>（三）</w:t>
      </w:r>
      <w:r>
        <w:rPr>
          <w:rFonts w:hint="eastAsia" w:ascii="仿宋" w:hAnsi="仿宋" w:eastAsia="仿宋" w:cs="仿宋"/>
          <w:sz w:val="30"/>
          <w:szCs w:val="30"/>
        </w:rPr>
        <w:t>绩效情况</w:t>
      </w:r>
    </w:p>
    <w:p w14:paraId="468DB79E">
      <w:p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（1）绩效评价目的</w:t>
      </w:r>
    </w:p>
    <w:p w14:paraId="6A12E788">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通过开展部门整体支出绩效评价，全面了解分析赫山区自然资源局预算执行及公开、“三公经费”管理、相关政策制度执行、资产管理及部门工作绩效等情况，督促赫山区自然资源局进一步围绕绩效目标开展工作，加强财务管理，强化支出责任，提高财政资金使用绩效。</w:t>
      </w:r>
    </w:p>
    <w:p w14:paraId="0A441917">
      <w:p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（2）绩效评价工作过程</w:t>
      </w:r>
    </w:p>
    <w:p w14:paraId="49EF4A4B">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按照《赫山区财政局关于做好2021年度预算绩效自评工作的通知》（益赫绩〔2021〕1号）等文件要求，我局按照下列步骤开展绩效评价工作：</w:t>
      </w:r>
    </w:p>
    <w:p w14:paraId="317473F0">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前期准备、组织实施。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14:paraId="3F4558C5">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现场评价。（1）核实数据。对2021年度部门整体支出数据的准确性、真实性进行核实；（2）查阅资料。查阅2021年度预算安排、预算追加、资金管理、经费支出、资产管理、政府采购等相关文件资料和财务凭证；（3）实地查看。现场查看实物资产；（4）发放调查问卷。对我局履行职责情况的公众满意度进行调查；（5）归纳汇总。对提供的材料及自评报告，结合现场评价情况进行综合分析、归纳汇总；（6）形成绩效评价报告。</w:t>
      </w:r>
    </w:p>
    <w:p w14:paraId="6BD4CBE5">
      <w:pPr>
        <w:pStyle w:val="7"/>
        <w:spacing w:line="600" w:lineRule="exact"/>
        <w:ind w:firstLine="600" w:firstLineChars="200"/>
        <w:rPr>
          <w:rFonts w:ascii="黑体" w:hAnsi="黑体" w:eastAsia="黑体" w:cs="黑体"/>
          <w:b/>
          <w:sz w:val="30"/>
          <w:szCs w:val="30"/>
        </w:rPr>
      </w:pPr>
      <w:r>
        <w:rPr>
          <w:rFonts w:hint="eastAsia" w:ascii="黑体" w:hAnsi="黑体" w:eastAsia="黑体" w:cs="黑体"/>
          <w:sz w:val="30"/>
          <w:szCs w:val="30"/>
        </w:rPr>
        <w:t>七、存在的问题及原因分析</w:t>
      </w:r>
    </w:p>
    <w:p w14:paraId="3681E634">
      <w:pPr>
        <w:pStyle w:val="6"/>
        <w:shd w:val="clear" w:color="auto" w:fill="FFFFFF"/>
        <w:spacing w:before="0" w:beforeAutospacing="0" w:after="0" w:afterAutospacing="0" w:line="600" w:lineRule="exact"/>
        <w:ind w:firstLine="600" w:firstLineChars="200"/>
        <w:jc w:val="both"/>
        <w:rPr>
          <w:rFonts w:hint="default" w:ascii="仿宋" w:hAnsi="仿宋" w:eastAsia="仿宋" w:cs="仿宋"/>
          <w:sz w:val="30"/>
          <w:szCs w:val="30"/>
        </w:rPr>
      </w:pPr>
      <w:r>
        <w:rPr>
          <w:rFonts w:ascii="仿宋" w:hAnsi="仿宋" w:eastAsia="仿宋" w:cs="仿宋"/>
          <w:sz w:val="30"/>
          <w:szCs w:val="30"/>
        </w:rPr>
        <w:t>1.预算绩效管理工作有待加强。绩效目标设立不细化、不量化，评价指标设置不科学，不便于操作。</w:t>
      </w:r>
    </w:p>
    <w:p w14:paraId="6F9F8CED">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2.人员包袱沉重，资金压力巨大。2021年本单位年末编制人数118人，自收自支编制21人。年末实有人数119 人，退休人员25人。财政只安排了全额编制95人的全额工资，人员经费缺口大。</w:t>
      </w:r>
    </w:p>
    <w:p w14:paraId="1408238E">
      <w:pPr>
        <w:pStyle w:val="6"/>
        <w:shd w:val="clear" w:color="auto" w:fill="FFFFFF"/>
        <w:spacing w:before="0" w:beforeAutospacing="0" w:after="0" w:afterAutospacing="0" w:line="600" w:lineRule="exact"/>
        <w:ind w:firstLine="600" w:firstLineChars="200"/>
        <w:jc w:val="both"/>
        <w:rPr>
          <w:rFonts w:hint="default" w:ascii="黑体" w:hAnsi="黑体" w:eastAsia="黑体" w:cs="黑体"/>
          <w:bCs/>
          <w:sz w:val="30"/>
          <w:szCs w:val="30"/>
        </w:rPr>
      </w:pPr>
      <w:r>
        <w:rPr>
          <w:rFonts w:ascii="黑体" w:hAnsi="黑体" w:eastAsia="黑体" w:cs="黑体"/>
          <w:bCs/>
          <w:sz w:val="30"/>
          <w:szCs w:val="30"/>
        </w:rPr>
        <w:t>八、下一步改进措施</w:t>
      </w:r>
    </w:p>
    <w:p w14:paraId="61DE96D9">
      <w:pPr>
        <w:pStyle w:val="6"/>
        <w:shd w:val="clear" w:color="auto" w:fill="FFFFFF"/>
        <w:spacing w:before="0" w:beforeAutospacing="0" w:after="0" w:afterAutospacing="0" w:line="600" w:lineRule="exact"/>
        <w:ind w:firstLine="600" w:firstLineChars="200"/>
        <w:jc w:val="both"/>
        <w:rPr>
          <w:rFonts w:hint="default" w:ascii="仿宋" w:hAnsi="仿宋" w:eastAsia="仿宋" w:cs="仿宋"/>
          <w:sz w:val="30"/>
          <w:szCs w:val="30"/>
        </w:rPr>
      </w:pPr>
      <w:r>
        <w:rPr>
          <w:rFonts w:ascii="仿宋" w:hAnsi="仿宋" w:eastAsia="仿宋" w:cs="仿宋"/>
          <w:sz w:val="30"/>
          <w:szCs w:val="30"/>
        </w:rPr>
        <w:t>1.加强绩效目标管理。应根据部门职责职能合理设置绩效目标，进一步细化、量化绩效指标，增加财政绩效评价的科学性。</w:t>
      </w:r>
    </w:p>
    <w:p w14:paraId="4D7C3063">
      <w:pPr>
        <w:pStyle w:val="6"/>
        <w:shd w:val="clear" w:color="auto" w:fill="FFFFFF"/>
        <w:spacing w:before="0" w:beforeAutospacing="0" w:after="0" w:afterAutospacing="0" w:line="600" w:lineRule="exact"/>
        <w:ind w:firstLine="600" w:firstLineChars="200"/>
        <w:jc w:val="both"/>
        <w:rPr>
          <w:rFonts w:hint="default" w:ascii="仿宋" w:hAnsi="仿宋" w:eastAsia="仿宋" w:cs="仿宋"/>
          <w:sz w:val="30"/>
          <w:szCs w:val="30"/>
        </w:rPr>
      </w:pPr>
      <w:r>
        <w:rPr>
          <w:rFonts w:ascii="仿宋" w:hAnsi="仿宋" w:eastAsia="仿宋" w:cs="仿宋"/>
          <w:sz w:val="30"/>
          <w:szCs w:val="30"/>
        </w:rPr>
        <w:t xml:space="preserve">2.适当增加政策性安置人员经费，确保单位稳定。  </w:t>
      </w:r>
    </w:p>
    <w:p w14:paraId="4F58F611">
      <w:pPr>
        <w:pStyle w:val="6"/>
        <w:shd w:val="clear" w:color="auto" w:fill="FFFFFF"/>
        <w:spacing w:before="0" w:beforeAutospacing="0" w:after="0" w:afterAutospacing="0" w:line="600" w:lineRule="exact"/>
        <w:ind w:firstLine="600" w:firstLineChars="200"/>
        <w:jc w:val="both"/>
        <w:rPr>
          <w:rFonts w:hint="default" w:ascii="仿宋" w:hAnsi="仿宋" w:eastAsia="仿宋" w:cs="仿宋"/>
          <w:sz w:val="30"/>
          <w:szCs w:val="30"/>
        </w:rPr>
      </w:pPr>
      <w:r>
        <w:rPr>
          <w:rFonts w:ascii="仿宋" w:hAnsi="仿宋" w:eastAsia="仿宋" w:cs="仿宋"/>
          <w:sz w:val="30"/>
          <w:szCs w:val="30"/>
        </w:rPr>
        <w:t>3.加强国有资产管理，确保资产账实相符。</w:t>
      </w:r>
    </w:p>
    <w:p w14:paraId="3ABA3E59">
      <w:pPr>
        <w:pStyle w:val="6"/>
        <w:shd w:val="clear" w:color="auto" w:fill="FFFFFF"/>
        <w:spacing w:before="0" w:beforeAutospacing="0" w:after="0" w:afterAutospacing="0" w:line="600" w:lineRule="exact"/>
        <w:ind w:firstLine="600" w:firstLineChars="200"/>
        <w:jc w:val="both"/>
        <w:rPr>
          <w:rFonts w:hint="default" w:ascii="仿宋" w:hAnsi="仿宋" w:eastAsia="仿宋" w:cs="仿宋"/>
          <w:sz w:val="30"/>
          <w:szCs w:val="30"/>
        </w:rPr>
      </w:pPr>
      <w:r>
        <w:rPr>
          <w:rFonts w:ascii="仿宋" w:hAnsi="仿宋" w:eastAsia="仿宋" w:cs="仿宋"/>
          <w:sz w:val="30"/>
          <w:szCs w:val="30"/>
        </w:rPr>
        <w:t>4.加强财务管理，规范财务核算。</w:t>
      </w:r>
    </w:p>
    <w:p w14:paraId="0602B5A5">
      <w:pPr>
        <w:adjustRightInd w:val="0"/>
        <w:snapToGrid w:val="0"/>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5.绩效评价结论</w:t>
      </w:r>
    </w:p>
    <w:p w14:paraId="0DD506D5">
      <w:pPr>
        <w:adjustRightInd w:val="0"/>
        <w:snapToGrid w:val="0"/>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根据部门整体支出绩效评价指标体系和绩效检查情况，赫山区自然资源局2021年度部门整体支出绩效进行了自我综合评分，2021年部门整体支出重点绩效评价指标总分值100分，实得95分（详见附件三：2021年赫山区自然资源局整体支出绩效评价指标评分表）。</w:t>
      </w:r>
    </w:p>
    <w:p w14:paraId="61D7D8AC">
      <w:pPr>
        <w:spacing w:line="600" w:lineRule="exact"/>
        <w:ind w:firstLine="600" w:firstLineChars="200"/>
        <w:rPr>
          <w:rFonts w:ascii="黑体" w:hAnsi="黑体" w:eastAsia="黑体" w:cs="黑体"/>
          <w:sz w:val="30"/>
          <w:szCs w:val="30"/>
        </w:rPr>
      </w:pPr>
      <w:r>
        <w:rPr>
          <w:rFonts w:hint="eastAsia" w:ascii="黑体" w:hAnsi="黑体" w:eastAsia="黑体" w:cs="黑体"/>
          <w:sz w:val="30"/>
          <w:szCs w:val="30"/>
        </w:rPr>
        <w:t>九、其他需要说明的问题</w:t>
      </w:r>
    </w:p>
    <w:p w14:paraId="00B3FBCD">
      <w:pPr>
        <w:pStyle w:val="7"/>
        <w:spacing w:line="600" w:lineRule="exact"/>
        <w:ind w:firstLine="600" w:firstLineChars="200"/>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w:t>2021年，我单位完成了绩效考核的各项工作任务。严格按照年初预算进行部门整体支出，所有资金均已到位并按照用途进行管理、使用，无截留、挪用等现象。所有项目支出均制定了详细的计划和方案，严格按照项目实施进度情况进行资金拨付。</w:t>
      </w:r>
    </w:p>
    <w:p w14:paraId="3F265D00">
      <w:pPr>
        <w:pStyle w:val="7"/>
        <w:spacing w:line="600" w:lineRule="exact"/>
        <w:ind w:firstLine="600" w:firstLineChars="200"/>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w:t>附件：2021年度部门整体支出绩效自评指标计分表</w:t>
      </w:r>
    </w:p>
    <w:p w14:paraId="5B742ACD">
      <w:pPr>
        <w:spacing w:beforeLines="50" w:afterLines="50"/>
        <w:rPr>
          <w:rFonts w:ascii="方正小标宋简体" w:eastAsia="方正小标宋简体" w:cs="方正小标宋_GBK"/>
          <w:sz w:val="36"/>
          <w:szCs w:val="36"/>
        </w:rPr>
      </w:pPr>
    </w:p>
    <w:p w14:paraId="5032A556">
      <w:pPr>
        <w:spacing w:beforeLines="50" w:afterLines="50"/>
        <w:rPr>
          <w:rFonts w:ascii="方正小标宋简体" w:eastAsia="方正小标宋简体" w:cs="方正小标宋_GBK"/>
          <w:sz w:val="36"/>
          <w:szCs w:val="36"/>
        </w:rPr>
      </w:pPr>
    </w:p>
    <w:p w14:paraId="5B8EC201">
      <w:pPr>
        <w:spacing w:beforeLines="50" w:afterLines="50"/>
        <w:rPr>
          <w:rFonts w:ascii="方正小标宋简体" w:eastAsia="方正小标宋简体" w:cs="方正小标宋_GBK"/>
          <w:sz w:val="36"/>
          <w:szCs w:val="36"/>
        </w:rPr>
      </w:pPr>
    </w:p>
    <w:p w14:paraId="2ECC9005">
      <w:pPr>
        <w:spacing w:beforeLines="50" w:afterLines="50"/>
        <w:rPr>
          <w:rFonts w:ascii="方正小标宋简体" w:eastAsia="方正小标宋简体" w:cs="方正小标宋_GBK"/>
          <w:sz w:val="36"/>
          <w:szCs w:val="36"/>
        </w:rPr>
      </w:pPr>
    </w:p>
    <w:p w14:paraId="50CF0CC6">
      <w:pPr>
        <w:spacing w:beforeLines="50" w:afterLines="50"/>
        <w:rPr>
          <w:rFonts w:ascii="方正小标宋简体" w:eastAsia="方正小标宋简体" w:cs="方正小标宋_GBK"/>
          <w:sz w:val="36"/>
          <w:szCs w:val="36"/>
        </w:rPr>
      </w:pPr>
    </w:p>
    <w:p w14:paraId="0AC806D9">
      <w:pPr>
        <w:spacing w:beforeLines="50" w:afterLines="50"/>
        <w:rPr>
          <w:rFonts w:ascii="方正小标宋简体" w:eastAsia="方正小标宋简体" w:cs="方正小标宋_GBK"/>
          <w:sz w:val="36"/>
          <w:szCs w:val="36"/>
        </w:rPr>
      </w:pPr>
    </w:p>
    <w:p w14:paraId="7190709A">
      <w:pPr>
        <w:spacing w:beforeLines="50" w:afterLines="50"/>
        <w:rPr>
          <w:rFonts w:ascii="方正小标宋简体" w:eastAsia="方正小标宋简体" w:cs="方正小标宋_GBK"/>
          <w:sz w:val="36"/>
          <w:szCs w:val="36"/>
        </w:rPr>
      </w:pPr>
    </w:p>
    <w:p w14:paraId="1A89B033">
      <w:pPr>
        <w:spacing w:beforeLines="50" w:afterLines="50"/>
        <w:rPr>
          <w:rFonts w:ascii="方正小标宋简体" w:eastAsia="方正小标宋简体" w:cs="方正小标宋_GBK"/>
          <w:sz w:val="36"/>
          <w:szCs w:val="36"/>
        </w:rPr>
      </w:pPr>
    </w:p>
    <w:p w14:paraId="418F7A4B">
      <w:pPr>
        <w:spacing w:beforeLines="50" w:afterLines="50"/>
        <w:rPr>
          <w:rFonts w:ascii="方正小标宋简体" w:eastAsia="方正小标宋简体" w:cs="方正小标宋_GBK"/>
          <w:sz w:val="36"/>
          <w:szCs w:val="36"/>
        </w:rPr>
      </w:pPr>
    </w:p>
    <w:p w14:paraId="61CFE292">
      <w:pPr>
        <w:spacing w:beforeLines="50" w:afterLines="50"/>
        <w:rPr>
          <w:rFonts w:ascii="方正小标宋简体" w:eastAsia="方正小标宋简体" w:cs="方正小标宋_GBK"/>
          <w:sz w:val="36"/>
          <w:szCs w:val="36"/>
        </w:rPr>
      </w:pPr>
    </w:p>
    <w:p w14:paraId="78579C30">
      <w:pPr>
        <w:spacing w:beforeLines="50" w:afterLines="50"/>
        <w:rPr>
          <w:rFonts w:ascii="方正小标宋简体" w:eastAsia="方正小标宋简体" w:cs="方正小标宋_GBK"/>
          <w:sz w:val="36"/>
          <w:szCs w:val="36"/>
        </w:rPr>
      </w:pPr>
    </w:p>
    <w:p w14:paraId="612064B4">
      <w:pPr>
        <w:spacing w:beforeLines="50" w:afterLines="50"/>
        <w:rPr>
          <w:rFonts w:ascii="方正小标宋简体" w:eastAsia="方正小标宋简体" w:cs="方正小标宋_GBK"/>
          <w:sz w:val="36"/>
          <w:szCs w:val="36"/>
        </w:rPr>
      </w:pPr>
    </w:p>
    <w:p w14:paraId="3C89F9C5">
      <w:pPr>
        <w:spacing w:beforeLines="50" w:afterLines="50"/>
        <w:rPr>
          <w:rFonts w:ascii="方正小标宋简体" w:eastAsia="方正小标宋简体" w:cs="方正小标宋_GBK"/>
          <w:sz w:val="36"/>
          <w:szCs w:val="36"/>
        </w:rPr>
      </w:pPr>
    </w:p>
    <w:p w14:paraId="17758436">
      <w:pPr>
        <w:spacing w:beforeLines="50" w:afterLines="50"/>
        <w:rPr>
          <w:rFonts w:ascii="方正小标宋简体" w:eastAsia="方正小标宋简体" w:cs="方正小标宋_GBK"/>
          <w:sz w:val="36"/>
          <w:szCs w:val="36"/>
        </w:rPr>
      </w:pPr>
    </w:p>
    <w:p w14:paraId="2D07E562">
      <w:pPr>
        <w:spacing w:beforeLines="50" w:afterLines="50"/>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2021年度部门整体支出绩效自评指标计分表</w:t>
      </w:r>
    </w:p>
    <w:tbl>
      <w:tblPr>
        <w:tblStyle w:val="8"/>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5"/>
        <w:gridCol w:w="667"/>
        <w:gridCol w:w="889"/>
        <w:gridCol w:w="667"/>
        <w:gridCol w:w="2802"/>
        <w:gridCol w:w="3319"/>
      </w:tblGrid>
      <w:tr w14:paraId="68F9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14:paraId="0306E1BF">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tcMar>
              <w:top w:w="10" w:type="dxa"/>
              <w:left w:w="10" w:type="dxa"/>
              <w:bottom w:w="0" w:type="dxa"/>
              <w:right w:w="10" w:type="dxa"/>
            </w:tcMar>
            <w:vAlign w:val="center"/>
          </w:tcPr>
          <w:p w14:paraId="0C78C51F">
            <w:pPr>
              <w:spacing w:line="240" w:lineRule="exact"/>
              <w:ind w:right="-174" w:rightChars="-83"/>
              <w:jc w:val="center"/>
              <w:rPr>
                <w:rFonts w:ascii="宋体" w:cs="宋体"/>
                <w:b/>
                <w:bCs/>
              </w:rPr>
            </w:pPr>
            <w:r>
              <w:rPr>
                <w:rFonts w:hint="eastAsia" w:ascii="宋体" w:hAnsi="宋体" w:cs="宋体"/>
                <w:b/>
                <w:bCs/>
              </w:rPr>
              <w:t>二级</w:t>
            </w:r>
          </w:p>
          <w:p w14:paraId="068F16FB">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14:paraId="655CBBFA">
            <w:pPr>
              <w:spacing w:line="240" w:lineRule="exact"/>
              <w:jc w:val="center"/>
              <w:rPr>
                <w:rFonts w:ascii="宋体" w:cs="宋体"/>
                <w:b/>
                <w:bCs/>
              </w:rPr>
            </w:pPr>
            <w:r>
              <w:rPr>
                <w:rFonts w:hint="eastAsia" w:ascii="宋体" w:hAnsi="宋体" w:cs="宋体"/>
                <w:b/>
                <w:bCs/>
              </w:rPr>
              <w:t>三级</w:t>
            </w:r>
          </w:p>
          <w:p w14:paraId="53BEA1C0">
            <w:pPr>
              <w:spacing w:line="240" w:lineRule="exact"/>
              <w:jc w:val="center"/>
              <w:rPr>
                <w:rFonts w:ascii="宋体" w:cs="宋体"/>
                <w:b/>
                <w:bCs/>
              </w:rPr>
            </w:pPr>
            <w:r>
              <w:rPr>
                <w:rFonts w:hint="eastAsia" w:ascii="宋体" w:hAnsi="宋体" w:cs="宋体"/>
                <w:b/>
                <w:bCs/>
              </w:rPr>
              <w:t>指标</w:t>
            </w:r>
          </w:p>
        </w:tc>
        <w:tc>
          <w:tcPr>
            <w:tcW w:w="375" w:type="pct"/>
            <w:vAlign w:val="center"/>
          </w:tcPr>
          <w:p w14:paraId="3479ECC4">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14:paraId="6C75E795">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14:paraId="41C39046">
            <w:pPr>
              <w:spacing w:line="240" w:lineRule="exact"/>
              <w:ind w:left="105" w:leftChars="50" w:right="105" w:rightChars="50"/>
              <w:jc w:val="center"/>
              <w:rPr>
                <w:rFonts w:ascii="宋体" w:cs="宋体"/>
                <w:b/>
                <w:bCs/>
              </w:rPr>
            </w:pPr>
            <w:r>
              <w:rPr>
                <w:rFonts w:hint="eastAsia" w:ascii="宋体" w:hAnsi="宋体" w:cs="宋体"/>
                <w:b/>
                <w:bCs/>
              </w:rPr>
              <w:t>指标说明</w:t>
            </w:r>
          </w:p>
        </w:tc>
      </w:tr>
      <w:tr w14:paraId="5C16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14:paraId="31A7E278">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14:paraId="5645B448">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14:paraId="0C67DDDC">
            <w:pPr>
              <w:spacing w:line="240" w:lineRule="exact"/>
              <w:jc w:val="center"/>
              <w:rPr>
                <w:rFonts w:ascii="宋体" w:cs="宋体"/>
              </w:rPr>
            </w:pPr>
            <w:r>
              <w:rPr>
                <w:rFonts w:hint="eastAsia" w:ascii="宋体" w:hAnsi="宋体" w:cs="宋体"/>
              </w:rPr>
              <w:t>绩效目标</w:t>
            </w:r>
          </w:p>
          <w:p w14:paraId="6A7993E2">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tcPr>
          <w:p w14:paraId="49266701">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14:paraId="33A732C2">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14:paraId="05F41F0F">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14:paraId="0464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14:paraId="24E9A286">
            <w:pPr>
              <w:spacing w:line="240" w:lineRule="exact"/>
              <w:rPr>
                <w:rFonts w:ascii="宋体" w:cs="宋体"/>
              </w:rPr>
            </w:pPr>
          </w:p>
        </w:tc>
        <w:tc>
          <w:tcPr>
            <w:tcW w:w="375" w:type="pct"/>
            <w:vMerge w:val="continue"/>
            <w:vAlign w:val="center"/>
          </w:tcPr>
          <w:p w14:paraId="55801DC6">
            <w:pPr>
              <w:spacing w:line="240" w:lineRule="exact"/>
              <w:rPr>
                <w:rFonts w:ascii="宋体" w:cs="宋体"/>
              </w:rPr>
            </w:pPr>
          </w:p>
        </w:tc>
        <w:tc>
          <w:tcPr>
            <w:tcW w:w="500" w:type="pct"/>
            <w:tcMar>
              <w:top w:w="10" w:type="dxa"/>
              <w:left w:w="10" w:type="dxa"/>
              <w:bottom w:w="0" w:type="dxa"/>
              <w:right w:w="10" w:type="dxa"/>
            </w:tcMar>
            <w:vAlign w:val="center"/>
          </w:tcPr>
          <w:p w14:paraId="40E5B7EB">
            <w:pPr>
              <w:spacing w:line="240" w:lineRule="exact"/>
              <w:jc w:val="center"/>
              <w:rPr>
                <w:rFonts w:ascii="宋体" w:cs="宋体"/>
              </w:rPr>
            </w:pPr>
            <w:r>
              <w:rPr>
                <w:rFonts w:hint="eastAsia" w:ascii="宋体" w:hAnsi="宋体" w:cs="宋体"/>
              </w:rPr>
              <w:t>绩效指标</w:t>
            </w:r>
          </w:p>
          <w:p w14:paraId="0BAA191C">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tcPr>
          <w:p w14:paraId="25AD78B5">
            <w:pPr>
              <w:tabs>
                <w:tab w:val="left" w:pos="2604"/>
              </w:tabs>
              <w:spacing w:line="240" w:lineRule="exact"/>
              <w:ind w:left="105" w:leftChars="50" w:right="105" w:rightChars="50" w:firstLine="96" w:firstLineChars="46"/>
              <w:rPr>
                <w:rFonts w:ascii="宋体" w:cs="宋体"/>
              </w:rPr>
            </w:pPr>
            <w:r>
              <w:rPr>
                <w:rFonts w:hint="eastAsia" w:ascii="宋体" w:cs="宋体"/>
              </w:rPr>
              <w:t>3</w:t>
            </w:r>
          </w:p>
        </w:tc>
        <w:tc>
          <w:tcPr>
            <w:tcW w:w="1576" w:type="pct"/>
            <w:tcMar>
              <w:top w:w="10" w:type="dxa"/>
              <w:left w:w="10" w:type="dxa"/>
              <w:bottom w:w="0" w:type="dxa"/>
              <w:right w:w="10" w:type="dxa"/>
            </w:tcMar>
            <w:vAlign w:val="center"/>
          </w:tcPr>
          <w:p w14:paraId="4CCCD47B">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14:paraId="4C749B74">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14:paraId="71DA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14:paraId="04EA3582">
            <w:pPr>
              <w:spacing w:line="240" w:lineRule="exact"/>
              <w:rPr>
                <w:rFonts w:ascii="宋体" w:cs="宋体"/>
              </w:rPr>
            </w:pPr>
          </w:p>
        </w:tc>
        <w:tc>
          <w:tcPr>
            <w:tcW w:w="375" w:type="pct"/>
            <w:vMerge w:val="restart"/>
            <w:tcMar>
              <w:top w:w="10" w:type="dxa"/>
              <w:left w:w="10" w:type="dxa"/>
              <w:bottom w:w="0" w:type="dxa"/>
              <w:right w:w="10" w:type="dxa"/>
            </w:tcMar>
            <w:vAlign w:val="center"/>
          </w:tcPr>
          <w:p w14:paraId="0CED414D">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14:paraId="566B7FE0">
            <w:pPr>
              <w:spacing w:line="240" w:lineRule="exact"/>
              <w:jc w:val="center"/>
              <w:rPr>
                <w:rFonts w:ascii="宋体" w:cs="宋体"/>
              </w:rPr>
            </w:pPr>
            <w:r>
              <w:rPr>
                <w:rFonts w:hint="eastAsia" w:ascii="宋体" w:hAnsi="宋体" w:cs="宋体"/>
              </w:rPr>
              <w:t>在职人员</w:t>
            </w:r>
          </w:p>
          <w:p w14:paraId="2B859EF6">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tcPr>
          <w:p w14:paraId="699E3C9F">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1576" w:type="pct"/>
            <w:tcMar>
              <w:top w:w="10" w:type="dxa"/>
              <w:left w:w="10" w:type="dxa"/>
              <w:bottom w:w="0" w:type="dxa"/>
              <w:right w:w="10" w:type="dxa"/>
            </w:tcMar>
            <w:vAlign w:val="center"/>
          </w:tcPr>
          <w:p w14:paraId="3EF6A6A1">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14:paraId="4AB098A9">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14:paraId="618A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14:paraId="74BD25DC">
            <w:pPr>
              <w:spacing w:line="240" w:lineRule="exact"/>
              <w:rPr>
                <w:rFonts w:ascii="宋体" w:cs="宋体"/>
              </w:rPr>
            </w:pPr>
          </w:p>
        </w:tc>
        <w:tc>
          <w:tcPr>
            <w:tcW w:w="375" w:type="pct"/>
            <w:vMerge w:val="continue"/>
            <w:vAlign w:val="center"/>
          </w:tcPr>
          <w:p w14:paraId="0911AB39">
            <w:pPr>
              <w:spacing w:line="240" w:lineRule="exact"/>
              <w:rPr>
                <w:rFonts w:ascii="宋体" w:cs="宋体"/>
              </w:rPr>
            </w:pPr>
          </w:p>
        </w:tc>
        <w:tc>
          <w:tcPr>
            <w:tcW w:w="500" w:type="pct"/>
            <w:tcMar>
              <w:top w:w="10" w:type="dxa"/>
              <w:left w:w="10" w:type="dxa"/>
              <w:bottom w:w="0" w:type="dxa"/>
              <w:right w:w="10" w:type="dxa"/>
            </w:tcMar>
            <w:vAlign w:val="center"/>
          </w:tcPr>
          <w:p w14:paraId="34C4317C">
            <w:pPr>
              <w:spacing w:line="240" w:lineRule="exact"/>
              <w:jc w:val="center"/>
              <w:rPr>
                <w:rFonts w:ascii="宋体" w:cs="宋体"/>
              </w:rPr>
            </w:pPr>
            <w:r>
              <w:rPr>
                <w:rFonts w:hint="eastAsia" w:ascii="宋体" w:hAnsi="宋体" w:cs="宋体"/>
              </w:rPr>
              <w:t>“三公经费”</w:t>
            </w:r>
          </w:p>
          <w:p w14:paraId="6955D3EA">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tcPr>
          <w:p w14:paraId="593CA6B4">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14:paraId="3708EF3D">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14:paraId="07C6EF79">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14:paraId="7051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14:paraId="20C22BE6">
            <w:pPr>
              <w:spacing w:line="240" w:lineRule="exact"/>
              <w:rPr>
                <w:rFonts w:ascii="宋体" w:cs="宋体"/>
              </w:rPr>
            </w:pPr>
          </w:p>
        </w:tc>
        <w:tc>
          <w:tcPr>
            <w:tcW w:w="375" w:type="pct"/>
            <w:vMerge w:val="continue"/>
            <w:vAlign w:val="center"/>
          </w:tcPr>
          <w:p w14:paraId="086FACB9">
            <w:pPr>
              <w:spacing w:line="240" w:lineRule="exact"/>
              <w:rPr>
                <w:rFonts w:ascii="宋体" w:cs="宋体"/>
              </w:rPr>
            </w:pPr>
          </w:p>
        </w:tc>
        <w:tc>
          <w:tcPr>
            <w:tcW w:w="500" w:type="pct"/>
            <w:tcMar>
              <w:top w:w="10" w:type="dxa"/>
              <w:left w:w="10" w:type="dxa"/>
              <w:bottom w:w="0" w:type="dxa"/>
              <w:right w:w="10" w:type="dxa"/>
            </w:tcMar>
            <w:vAlign w:val="center"/>
          </w:tcPr>
          <w:p w14:paraId="51365164">
            <w:pPr>
              <w:spacing w:line="240" w:lineRule="exact"/>
              <w:jc w:val="center"/>
              <w:rPr>
                <w:rFonts w:ascii="宋体" w:cs="宋体"/>
              </w:rPr>
            </w:pPr>
            <w:r>
              <w:rPr>
                <w:rFonts w:hint="eastAsia" w:ascii="宋体" w:hAnsi="宋体" w:cs="宋体"/>
              </w:rPr>
              <w:t>重点支出</w:t>
            </w:r>
          </w:p>
          <w:p w14:paraId="3B978E53">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tcPr>
          <w:p w14:paraId="3457DB04">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1576" w:type="pct"/>
            <w:tcMar>
              <w:top w:w="10" w:type="dxa"/>
              <w:left w:w="10" w:type="dxa"/>
              <w:bottom w:w="0" w:type="dxa"/>
              <w:right w:w="10" w:type="dxa"/>
            </w:tcMar>
            <w:vAlign w:val="center"/>
          </w:tcPr>
          <w:p w14:paraId="3589CE4A">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14:paraId="34B1879F">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14:paraId="1412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14:paraId="0571455B">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14:paraId="357AE9FC">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14:paraId="019298FF">
            <w:pPr>
              <w:spacing w:line="240" w:lineRule="exact"/>
              <w:jc w:val="center"/>
              <w:rPr>
                <w:rFonts w:ascii="宋体" w:cs="宋体"/>
              </w:rPr>
            </w:pPr>
            <w:r>
              <w:rPr>
                <w:rFonts w:hint="eastAsia" w:ascii="宋体" w:hAnsi="宋体" w:cs="宋体"/>
              </w:rPr>
              <w:t>预算</w:t>
            </w:r>
          </w:p>
          <w:p w14:paraId="006E91E6">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14:paraId="3B7236A0">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1576" w:type="pct"/>
            <w:tcMar>
              <w:top w:w="10" w:type="dxa"/>
              <w:left w:w="10" w:type="dxa"/>
              <w:bottom w:w="0" w:type="dxa"/>
              <w:right w:w="10" w:type="dxa"/>
            </w:tcMar>
            <w:vAlign w:val="center"/>
          </w:tcPr>
          <w:p w14:paraId="015A47BF">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14:paraId="4DA97DAF">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14:paraId="1146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14:paraId="08F2A2D2">
            <w:pPr>
              <w:spacing w:line="240" w:lineRule="exact"/>
              <w:jc w:val="center"/>
              <w:rPr>
                <w:rFonts w:ascii="宋体" w:cs="宋体"/>
              </w:rPr>
            </w:pPr>
          </w:p>
        </w:tc>
        <w:tc>
          <w:tcPr>
            <w:tcW w:w="375" w:type="pct"/>
            <w:vMerge w:val="continue"/>
            <w:vAlign w:val="center"/>
          </w:tcPr>
          <w:p w14:paraId="47B6FD68">
            <w:pPr>
              <w:spacing w:line="240" w:lineRule="exact"/>
              <w:jc w:val="center"/>
              <w:rPr>
                <w:rFonts w:ascii="宋体" w:cs="宋体"/>
              </w:rPr>
            </w:pPr>
          </w:p>
        </w:tc>
        <w:tc>
          <w:tcPr>
            <w:tcW w:w="500" w:type="pct"/>
            <w:tcMar>
              <w:top w:w="10" w:type="dxa"/>
              <w:left w:w="10" w:type="dxa"/>
              <w:bottom w:w="0" w:type="dxa"/>
              <w:right w:w="10" w:type="dxa"/>
            </w:tcMar>
            <w:vAlign w:val="center"/>
          </w:tcPr>
          <w:p w14:paraId="3A5B09DB">
            <w:pPr>
              <w:spacing w:line="240" w:lineRule="exact"/>
              <w:jc w:val="center"/>
              <w:rPr>
                <w:rFonts w:ascii="宋体" w:cs="宋体"/>
              </w:rPr>
            </w:pPr>
            <w:r>
              <w:rPr>
                <w:rFonts w:hint="eastAsia" w:ascii="宋体" w:hAnsi="宋体" w:cs="宋体"/>
              </w:rPr>
              <w:t>预算</w:t>
            </w:r>
          </w:p>
          <w:p w14:paraId="00F9A1C8">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tcPr>
          <w:p w14:paraId="470E33CF">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14:paraId="391036B9">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14:paraId="2908B8D1">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14:paraId="1871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14:paraId="04168DA5">
            <w:pPr>
              <w:spacing w:line="240" w:lineRule="exact"/>
              <w:jc w:val="center"/>
              <w:rPr>
                <w:rFonts w:ascii="宋体" w:cs="宋体"/>
              </w:rPr>
            </w:pPr>
          </w:p>
        </w:tc>
        <w:tc>
          <w:tcPr>
            <w:tcW w:w="375" w:type="pct"/>
            <w:vMerge w:val="continue"/>
            <w:vAlign w:val="center"/>
          </w:tcPr>
          <w:p w14:paraId="249777D5">
            <w:pPr>
              <w:spacing w:line="240" w:lineRule="exact"/>
              <w:jc w:val="center"/>
              <w:rPr>
                <w:rFonts w:ascii="宋体" w:cs="宋体"/>
              </w:rPr>
            </w:pPr>
          </w:p>
        </w:tc>
        <w:tc>
          <w:tcPr>
            <w:tcW w:w="500" w:type="pct"/>
            <w:tcMar>
              <w:top w:w="10" w:type="dxa"/>
              <w:left w:w="10" w:type="dxa"/>
              <w:bottom w:w="0" w:type="dxa"/>
              <w:right w:w="10" w:type="dxa"/>
            </w:tcMar>
            <w:vAlign w:val="center"/>
          </w:tcPr>
          <w:p w14:paraId="25BE78EF">
            <w:pPr>
              <w:spacing w:line="240" w:lineRule="exact"/>
              <w:jc w:val="center"/>
              <w:rPr>
                <w:rFonts w:ascii="宋体" w:cs="宋体"/>
              </w:rPr>
            </w:pPr>
            <w:r>
              <w:rPr>
                <w:rFonts w:hint="eastAsia" w:ascii="宋体" w:hAnsi="宋体" w:cs="宋体"/>
              </w:rPr>
              <w:t>支付</w:t>
            </w:r>
          </w:p>
          <w:p w14:paraId="3BA896F4">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tcPr>
          <w:p w14:paraId="4AD7A532">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14:paraId="3C3A094A">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14:paraId="4320688E">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14:paraId="43CE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14:paraId="63360B19">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14:paraId="16C8E918">
            <w:pPr>
              <w:spacing w:line="240" w:lineRule="exact"/>
              <w:jc w:val="center"/>
              <w:rPr>
                <w:rFonts w:ascii="宋体" w:cs="宋体"/>
              </w:rPr>
            </w:pPr>
          </w:p>
        </w:tc>
        <w:tc>
          <w:tcPr>
            <w:tcW w:w="500" w:type="pct"/>
            <w:tcMar>
              <w:top w:w="10" w:type="dxa"/>
              <w:left w:w="10" w:type="dxa"/>
              <w:bottom w:w="0" w:type="dxa"/>
              <w:right w:w="10" w:type="dxa"/>
            </w:tcMar>
            <w:vAlign w:val="center"/>
          </w:tcPr>
          <w:p w14:paraId="3992B665">
            <w:pPr>
              <w:spacing w:line="240" w:lineRule="exact"/>
              <w:jc w:val="center"/>
              <w:rPr>
                <w:rFonts w:ascii="宋体" w:cs="宋体"/>
              </w:rPr>
            </w:pPr>
            <w:r>
              <w:rPr>
                <w:rFonts w:hint="eastAsia" w:ascii="宋体" w:hAnsi="宋体" w:cs="宋体"/>
              </w:rPr>
              <w:t>结转</w:t>
            </w:r>
          </w:p>
          <w:p w14:paraId="7EFCFFDB">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tcPr>
          <w:p w14:paraId="5321CF1F">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14:paraId="089686A6">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14:paraId="51C29865">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14:paraId="6CD34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14:paraId="431D07C2">
            <w:pPr>
              <w:spacing w:line="240" w:lineRule="exact"/>
              <w:jc w:val="center"/>
              <w:rPr>
                <w:rFonts w:ascii="宋体" w:cs="宋体"/>
              </w:rPr>
            </w:pPr>
          </w:p>
        </w:tc>
        <w:tc>
          <w:tcPr>
            <w:tcW w:w="375" w:type="pct"/>
            <w:vMerge w:val="continue"/>
            <w:vAlign w:val="center"/>
          </w:tcPr>
          <w:p w14:paraId="13A7CFE1">
            <w:pPr>
              <w:spacing w:line="240" w:lineRule="exact"/>
              <w:rPr>
                <w:rFonts w:ascii="宋体" w:cs="宋体"/>
              </w:rPr>
            </w:pPr>
          </w:p>
        </w:tc>
        <w:tc>
          <w:tcPr>
            <w:tcW w:w="500" w:type="pct"/>
            <w:tcMar>
              <w:top w:w="10" w:type="dxa"/>
              <w:left w:w="10" w:type="dxa"/>
              <w:bottom w:w="0" w:type="dxa"/>
              <w:right w:w="10" w:type="dxa"/>
            </w:tcMar>
            <w:vAlign w:val="center"/>
          </w:tcPr>
          <w:p w14:paraId="1200C8D4">
            <w:pPr>
              <w:spacing w:line="240" w:lineRule="exact"/>
              <w:jc w:val="center"/>
              <w:rPr>
                <w:rFonts w:ascii="宋体" w:cs="宋体"/>
              </w:rPr>
            </w:pPr>
            <w:r>
              <w:rPr>
                <w:rFonts w:hint="eastAsia" w:ascii="宋体" w:hAnsi="宋体" w:cs="宋体"/>
              </w:rPr>
              <w:t>结转结余</w:t>
            </w:r>
          </w:p>
          <w:p w14:paraId="23B9863D">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tcPr>
          <w:p w14:paraId="70FDDA08">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14:paraId="65FB7FD5">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14:paraId="3F00A13C">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14:paraId="4404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14:paraId="5B5FB133">
            <w:pPr>
              <w:spacing w:line="240" w:lineRule="exact"/>
              <w:jc w:val="center"/>
              <w:rPr>
                <w:rFonts w:ascii="宋体" w:cs="宋体"/>
              </w:rPr>
            </w:pPr>
          </w:p>
        </w:tc>
        <w:tc>
          <w:tcPr>
            <w:tcW w:w="375" w:type="pct"/>
            <w:vMerge w:val="continue"/>
            <w:vAlign w:val="center"/>
          </w:tcPr>
          <w:p w14:paraId="1992CC13">
            <w:pPr>
              <w:spacing w:line="240" w:lineRule="exact"/>
              <w:rPr>
                <w:rFonts w:ascii="宋体" w:cs="宋体"/>
              </w:rPr>
            </w:pPr>
          </w:p>
        </w:tc>
        <w:tc>
          <w:tcPr>
            <w:tcW w:w="500" w:type="pct"/>
            <w:tcMar>
              <w:top w:w="10" w:type="dxa"/>
              <w:left w:w="10" w:type="dxa"/>
              <w:bottom w:w="0" w:type="dxa"/>
              <w:right w:w="10" w:type="dxa"/>
            </w:tcMar>
            <w:vAlign w:val="center"/>
          </w:tcPr>
          <w:p w14:paraId="13BE8F69">
            <w:pPr>
              <w:spacing w:line="240" w:lineRule="exact"/>
              <w:jc w:val="center"/>
              <w:rPr>
                <w:rFonts w:ascii="宋体" w:cs="宋体"/>
              </w:rPr>
            </w:pPr>
            <w:r>
              <w:rPr>
                <w:rFonts w:hint="eastAsia" w:ascii="宋体" w:hAnsi="宋体" w:cs="宋体"/>
              </w:rPr>
              <w:t>公用经费</w:t>
            </w:r>
          </w:p>
          <w:p w14:paraId="0F670D64">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tcPr>
          <w:p w14:paraId="4820B2F9">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14:paraId="27B81FDD">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14:paraId="65BE4388">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14:paraId="6BB3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14:paraId="508ACB4C">
            <w:pPr>
              <w:spacing w:line="240" w:lineRule="exact"/>
              <w:jc w:val="center"/>
              <w:rPr>
                <w:rFonts w:ascii="宋体" w:cs="宋体"/>
              </w:rPr>
            </w:pPr>
          </w:p>
        </w:tc>
        <w:tc>
          <w:tcPr>
            <w:tcW w:w="375" w:type="pct"/>
            <w:vMerge w:val="continue"/>
            <w:vAlign w:val="center"/>
          </w:tcPr>
          <w:p w14:paraId="3B9C5C19">
            <w:pPr>
              <w:spacing w:line="240" w:lineRule="exact"/>
              <w:jc w:val="center"/>
              <w:rPr>
                <w:rFonts w:ascii="宋体" w:cs="宋体"/>
              </w:rPr>
            </w:pPr>
          </w:p>
        </w:tc>
        <w:tc>
          <w:tcPr>
            <w:tcW w:w="500" w:type="pct"/>
            <w:tcMar>
              <w:top w:w="10" w:type="dxa"/>
              <w:left w:w="10" w:type="dxa"/>
              <w:bottom w:w="0" w:type="dxa"/>
              <w:right w:w="10" w:type="dxa"/>
            </w:tcMar>
            <w:vAlign w:val="center"/>
          </w:tcPr>
          <w:p w14:paraId="7A954CC3">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tcPr>
          <w:p w14:paraId="28E9CA00">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14:paraId="2CCCD40C">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14:paraId="2321A8C7">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14:paraId="23CD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14:paraId="2780A251">
            <w:pPr>
              <w:spacing w:line="240" w:lineRule="exact"/>
              <w:jc w:val="center"/>
              <w:rPr>
                <w:rFonts w:ascii="宋体" w:cs="宋体"/>
              </w:rPr>
            </w:pPr>
          </w:p>
        </w:tc>
        <w:tc>
          <w:tcPr>
            <w:tcW w:w="375" w:type="pct"/>
            <w:vMerge w:val="continue"/>
            <w:vAlign w:val="center"/>
          </w:tcPr>
          <w:p w14:paraId="04EA8577">
            <w:pPr>
              <w:spacing w:line="240" w:lineRule="exact"/>
              <w:rPr>
                <w:rFonts w:ascii="宋体" w:cs="宋体"/>
              </w:rPr>
            </w:pPr>
          </w:p>
        </w:tc>
        <w:tc>
          <w:tcPr>
            <w:tcW w:w="500" w:type="pct"/>
            <w:tcMar>
              <w:top w:w="10" w:type="dxa"/>
              <w:left w:w="10" w:type="dxa"/>
              <w:bottom w:w="0" w:type="dxa"/>
              <w:right w:w="10" w:type="dxa"/>
            </w:tcMar>
            <w:vAlign w:val="center"/>
          </w:tcPr>
          <w:p w14:paraId="2B0C6123">
            <w:pPr>
              <w:spacing w:line="240" w:lineRule="exact"/>
              <w:jc w:val="center"/>
              <w:rPr>
                <w:rFonts w:ascii="宋体" w:cs="宋体"/>
              </w:rPr>
            </w:pPr>
            <w:r>
              <w:rPr>
                <w:rFonts w:hint="eastAsia" w:ascii="宋体" w:hAnsi="宋体" w:cs="宋体"/>
              </w:rPr>
              <w:t>政府采购</w:t>
            </w:r>
          </w:p>
          <w:p w14:paraId="6204C4D8">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14:paraId="63544331">
            <w:pPr>
              <w:tabs>
                <w:tab w:val="left" w:pos="2604"/>
              </w:tabs>
              <w:spacing w:line="240" w:lineRule="exact"/>
              <w:ind w:left="105" w:leftChars="50" w:right="105" w:rightChars="50" w:firstLine="96" w:firstLineChars="46"/>
              <w:rPr>
                <w:rFonts w:ascii="宋体" w:cs="宋体"/>
              </w:rPr>
            </w:pPr>
            <w:r>
              <w:rPr>
                <w:rFonts w:hint="eastAsia" w:ascii="宋体" w:cs="宋体"/>
              </w:rPr>
              <w:t>3</w:t>
            </w:r>
          </w:p>
        </w:tc>
        <w:tc>
          <w:tcPr>
            <w:tcW w:w="1576" w:type="pct"/>
            <w:tcMar>
              <w:top w:w="10" w:type="dxa"/>
              <w:left w:w="10" w:type="dxa"/>
              <w:bottom w:w="0" w:type="dxa"/>
              <w:right w:w="10" w:type="dxa"/>
            </w:tcMar>
            <w:vAlign w:val="center"/>
          </w:tcPr>
          <w:p w14:paraId="5C77BB59">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14:paraId="3E6F35A9">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14:paraId="6CE1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14:paraId="0B1F260D">
            <w:pPr>
              <w:spacing w:line="240" w:lineRule="exact"/>
              <w:jc w:val="center"/>
              <w:rPr>
                <w:rFonts w:ascii="宋体" w:cs="宋体"/>
              </w:rPr>
            </w:pPr>
            <w:r>
              <w:rPr>
                <w:rFonts w:hint="eastAsia" w:ascii="宋体" w:hAnsi="宋体" w:cs="宋体"/>
              </w:rPr>
              <w:t>过</w:t>
            </w:r>
          </w:p>
          <w:p w14:paraId="0F904C55">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14:paraId="5EE3D3CD">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14:paraId="184CABDE">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14:paraId="66A671BC">
            <w:pPr>
              <w:spacing w:line="240" w:lineRule="exact"/>
              <w:jc w:val="center"/>
              <w:rPr>
                <w:rFonts w:ascii="宋体" w:cs="宋体"/>
              </w:rPr>
            </w:pPr>
            <w:r>
              <w:rPr>
                <w:rFonts w:hint="eastAsia" w:ascii="宋体" w:hAnsi="宋体" w:cs="宋体"/>
              </w:rPr>
              <w:t>管理制度</w:t>
            </w:r>
          </w:p>
          <w:p w14:paraId="40F4CF6E">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14:paraId="01867890">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14:paraId="31A32084">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14:paraId="50750EBF">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14:paraId="5071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14:paraId="396A4031">
            <w:pPr>
              <w:spacing w:line="240" w:lineRule="exact"/>
              <w:jc w:val="center"/>
              <w:rPr>
                <w:rFonts w:ascii="宋体" w:cs="宋体"/>
              </w:rPr>
            </w:pPr>
          </w:p>
        </w:tc>
        <w:tc>
          <w:tcPr>
            <w:tcW w:w="375" w:type="pct"/>
            <w:vMerge w:val="continue"/>
            <w:vAlign w:val="center"/>
          </w:tcPr>
          <w:p w14:paraId="699E2791">
            <w:pPr>
              <w:spacing w:line="240" w:lineRule="exact"/>
              <w:jc w:val="center"/>
              <w:rPr>
                <w:rFonts w:ascii="宋体" w:cs="宋体"/>
              </w:rPr>
            </w:pPr>
          </w:p>
        </w:tc>
        <w:tc>
          <w:tcPr>
            <w:tcW w:w="500" w:type="pct"/>
            <w:tcMar>
              <w:top w:w="10" w:type="dxa"/>
              <w:left w:w="10" w:type="dxa"/>
              <w:bottom w:w="0" w:type="dxa"/>
              <w:right w:w="10" w:type="dxa"/>
            </w:tcMar>
            <w:vAlign w:val="center"/>
          </w:tcPr>
          <w:p w14:paraId="1C35776B">
            <w:pPr>
              <w:spacing w:line="240" w:lineRule="exact"/>
              <w:jc w:val="center"/>
              <w:rPr>
                <w:rFonts w:ascii="宋体" w:cs="宋体"/>
              </w:rPr>
            </w:pPr>
            <w:r>
              <w:rPr>
                <w:rFonts w:hint="eastAsia" w:ascii="宋体" w:hAnsi="宋体" w:cs="宋体"/>
              </w:rPr>
              <w:t>资金使用</w:t>
            </w:r>
          </w:p>
          <w:p w14:paraId="7E16141A">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tcPr>
          <w:p w14:paraId="0B9CE00B">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14:paraId="308E6E83">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14:paraId="2C540CC6">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14:paraId="6C437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14:paraId="3212DEDA">
            <w:pPr>
              <w:spacing w:line="240" w:lineRule="exact"/>
              <w:jc w:val="center"/>
              <w:rPr>
                <w:rFonts w:ascii="宋体" w:cs="宋体"/>
              </w:rPr>
            </w:pPr>
          </w:p>
        </w:tc>
        <w:tc>
          <w:tcPr>
            <w:tcW w:w="375" w:type="pct"/>
            <w:vMerge w:val="continue"/>
            <w:vAlign w:val="center"/>
          </w:tcPr>
          <w:p w14:paraId="34F04F87">
            <w:pPr>
              <w:spacing w:line="240" w:lineRule="exact"/>
              <w:rPr>
                <w:rFonts w:ascii="宋体" w:cs="宋体"/>
              </w:rPr>
            </w:pPr>
          </w:p>
        </w:tc>
        <w:tc>
          <w:tcPr>
            <w:tcW w:w="500" w:type="pct"/>
            <w:tcMar>
              <w:top w:w="10" w:type="dxa"/>
              <w:left w:w="10" w:type="dxa"/>
              <w:bottom w:w="0" w:type="dxa"/>
              <w:right w:w="10" w:type="dxa"/>
            </w:tcMar>
            <w:vAlign w:val="center"/>
          </w:tcPr>
          <w:p w14:paraId="294B628C">
            <w:pPr>
              <w:spacing w:line="240" w:lineRule="exact"/>
              <w:jc w:val="center"/>
              <w:rPr>
                <w:rFonts w:ascii="宋体" w:cs="宋体"/>
              </w:rPr>
            </w:pPr>
            <w:r>
              <w:rPr>
                <w:rFonts w:hint="eastAsia" w:ascii="宋体" w:hAnsi="宋体" w:cs="宋体"/>
              </w:rPr>
              <w:t>预决算信</w:t>
            </w:r>
          </w:p>
          <w:p w14:paraId="21B75025">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tcPr>
          <w:p w14:paraId="1B2BF247">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14:paraId="1BFDF02D">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14:paraId="3BF3CA25">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14:paraId="6928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7" w:hRule="atLeast"/>
          <w:jc w:val="center"/>
        </w:trPr>
        <w:tc>
          <w:tcPr>
            <w:tcW w:w="307" w:type="pct"/>
            <w:vMerge w:val="continue"/>
            <w:vAlign w:val="center"/>
          </w:tcPr>
          <w:p w14:paraId="4379B683">
            <w:pPr>
              <w:spacing w:line="240" w:lineRule="exact"/>
              <w:jc w:val="center"/>
              <w:rPr>
                <w:rFonts w:ascii="宋体" w:cs="宋体"/>
              </w:rPr>
            </w:pPr>
          </w:p>
        </w:tc>
        <w:tc>
          <w:tcPr>
            <w:tcW w:w="375" w:type="pct"/>
            <w:vMerge w:val="continue"/>
            <w:vAlign w:val="center"/>
          </w:tcPr>
          <w:p w14:paraId="20A61BB3">
            <w:pPr>
              <w:spacing w:line="240" w:lineRule="exact"/>
              <w:jc w:val="center"/>
              <w:rPr>
                <w:rFonts w:ascii="宋体" w:cs="宋体"/>
              </w:rPr>
            </w:pPr>
          </w:p>
        </w:tc>
        <w:tc>
          <w:tcPr>
            <w:tcW w:w="500" w:type="pct"/>
            <w:tcMar>
              <w:top w:w="10" w:type="dxa"/>
              <w:left w:w="10" w:type="dxa"/>
              <w:bottom w:w="0" w:type="dxa"/>
              <w:right w:w="10" w:type="dxa"/>
            </w:tcMar>
            <w:vAlign w:val="center"/>
          </w:tcPr>
          <w:p w14:paraId="56266DEF">
            <w:pPr>
              <w:spacing w:line="240" w:lineRule="exact"/>
              <w:jc w:val="center"/>
              <w:rPr>
                <w:rFonts w:ascii="宋体" w:cs="宋体"/>
              </w:rPr>
            </w:pPr>
            <w:r>
              <w:rPr>
                <w:rFonts w:hint="eastAsia" w:ascii="宋体" w:hAnsi="宋体" w:cs="宋体"/>
              </w:rPr>
              <w:t>基础信息</w:t>
            </w:r>
          </w:p>
          <w:p w14:paraId="0AEDD5C6">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tcPr>
          <w:p w14:paraId="5063776E">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14:paraId="2D411855">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14:paraId="07468021">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14:paraId="7321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4" w:hRule="atLeast"/>
          <w:jc w:val="center"/>
        </w:trPr>
        <w:tc>
          <w:tcPr>
            <w:tcW w:w="307" w:type="pct"/>
            <w:vMerge w:val="continue"/>
            <w:noWrap/>
            <w:tcMar>
              <w:top w:w="10" w:type="dxa"/>
              <w:left w:w="10" w:type="dxa"/>
              <w:bottom w:w="0" w:type="dxa"/>
              <w:right w:w="10" w:type="dxa"/>
            </w:tcMar>
            <w:textDirection w:val="tbRlV"/>
            <w:vAlign w:val="center"/>
          </w:tcPr>
          <w:p w14:paraId="37CF9AB4">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14:paraId="385C8048">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14:paraId="7E6AB137">
            <w:pPr>
              <w:spacing w:line="240" w:lineRule="exact"/>
              <w:jc w:val="center"/>
              <w:rPr>
                <w:rFonts w:ascii="宋体" w:cs="宋体"/>
              </w:rPr>
            </w:pPr>
            <w:r>
              <w:rPr>
                <w:rFonts w:hint="eastAsia" w:ascii="宋体" w:hAnsi="宋体" w:cs="宋体"/>
              </w:rPr>
              <w:t>管理制度</w:t>
            </w:r>
          </w:p>
          <w:p w14:paraId="3A00EEF9">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14:paraId="60C8A117">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14:paraId="08E9943D">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14:paraId="5DB11D18">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14:paraId="147E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14:paraId="17A542C9">
            <w:pPr>
              <w:spacing w:line="240" w:lineRule="exact"/>
              <w:jc w:val="center"/>
              <w:rPr>
                <w:rFonts w:ascii="宋体" w:cs="宋体"/>
              </w:rPr>
            </w:pPr>
          </w:p>
        </w:tc>
        <w:tc>
          <w:tcPr>
            <w:tcW w:w="375" w:type="pct"/>
            <w:vMerge w:val="continue"/>
            <w:vAlign w:val="center"/>
          </w:tcPr>
          <w:p w14:paraId="2EB7740C">
            <w:pPr>
              <w:spacing w:line="240" w:lineRule="exact"/>
              <w:jc w:val="center"/>
              <w:rPr>
                <w:rFonts w:ascii="宋体" w:cs="宋体"/>
              </w:rPr>
            </w:pPr>
          </w:p>
        </w:tc>
        <w:tc>
          <w:tcPr>
            <w:tcW w:w="500" w:type="pct"/>
            <w:tcMar>
              <w:top w:w="10" w:type="dxa"/>
              <w:left w:w="10" w:type="dxa"/>
              <w:bottom w:w="0" w:type="dxa"/>
              <w:right w:w="10" w:type="dxa"/>
            </w:tcMar>
            <w:vAlign w:val="center"/>
          </w:tcPr>
          <w:p w14:paraId="6EF87BED">
            <w:pPr>
              <w:spacing w:line="240" w:lineRule="exact"/>
              <w:jc w:val="center"/>
              <w:rPr>
                <w:rFonts w:ascii="宋体" w:cs="宋体"/>
              </w:rPr>
            </w:pPr>
            <w:r>
              <w:rPr>
                <w:rFonts w:hint="eastAsia" w:ascii="宋体" w:hAnsi="宋体" w:cs="宋体"/>
              </w:rPr>
              <w:t>资产管理</w:t>
            </w:r>
          </w:p>
          <w:p w14:paraId="19584A4E">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tcPr>
          <w:p w14:paraId="4BA8FD4D">
            <w:pPr>
              <w:tabs>
                <w:tab w:val="left" w:pos="761"/>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14:paraId="159E968F">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14:paraId="240071F6">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14:paraId="7048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14:paraId="573AD09F">
            <w:pPr>
              <w:spacing w:line="240" w:lineRule="exact"/>
              <w:rPr>
                <w:rFonts w:ascii="宋体" w:cs="宋体"/>
              </w:rPr>
            </w:pPr>
          </w:p>
        </w:tc>
        <w:tc>
          <w:tcPr>
            <w:tcW w:w="375" w:type="pct"/>
            <w:vMerge w:val="continue"/>
            <w:vAlign w:val="center"/>
          </w:tcPr>
          <w:p w14:paraId="296B8CA8">
            <w:pPr>
              <w:spacing w:line="240" w:lineRule="exact"/>
              <w:rPr>
                <w:rFonts w:ascii="宋体" w:cs="宋体"/>
              </w:rPr>
            </w:pPr>
          </w:p>
        </w:tc>
        <w:tc>
          <w:tcPr>
            <w:tcW w:w="500" w:type="pct"/>
            <w:tcMar>
              <w:top w:w="10" w:type="dxa"/>
              <w:left w:w="10" w:type="dxa"/>
              <w:bottom w:w="0" w:type="dxa"/>
              <w:right w:w="10" w:type="dxa"/>
            </w:tcMar>
            <w:vAlign w:val="center"/>
          </w:tcPr>
          <w:p w14:paraId="6A395CEB">
            <w:pPr>
              <w:spacing w:line="240" w:lineRule="exact"/>
              <w:jc w:val="center"/>
              <w:rPr>
                <w:rFonts w:ascii="宋体" w:cs="宋体"/>
              </w:rPr>
            </w:pPr>
            <w:r>
              <w:rPr>
                <w:rFonts w:hint="eastAsia" w:ascii="宋体" w:hAnsi="宋体" w:cs="宋体"/>
              </w:rPr>
              <w:t>固定资产</w:t>
            </w:r>
          </w:p>
          <w:p w14:paraId="7224E4EF">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tcPr>
          <w:p w14:paraId="48976332">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14:paraId="09E33FF7">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14:paraId="0FE49B14">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14:paraId="687F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1" w:hRule="atLeast"/>
          <w:jc w:val="center"/>
        </w:trPr>
        <w:tc>
          <w:tcPr>
            <w:tcW w:w="307" w:type="pct"/>
            <w:vMerge w:val="restart"/>
            <w:noWrap/>
            <w:tcMar>
              <w:top w:w="10" w:type="dxa"/>
              <w:left w:w="10" w:type="dxa"/>
              <w:bottom w:w="0" w:type="dxa"/>
              <w:right w:w="10" w:type="dxa"/>
            </w:tcMar>
            <w:textDirection w:val="tbRlV"/>
            <w:vAlign w:val="center"/>
          </w:tcPr>
          <w:p w14:paraId="5B516DE5">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14:paraId="0FCA5627">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14:paraId="5A576A67">
            <w:pPr>
              <w:spacing w:line="240" w:lineRule="exact"/>
              <w:jc w:val="center"/>
              <w:rPr>
                <w:rFonts w:ascii="宋体" w:cs="宋体"/>
              </w:rPr>
            </w:pPr>
            <w:r>
              <w:rPr>
                <w:rFonts w:hint="eastAsia" w:ascii="宋体" w:hAnsi="宋体" w:cs="宋体"/>
              </w:rPr>
              <w:t>实际</w:t>
            </w:r>
          </w:p>
          <w:p w14:paraId="7CA58D13">
            <w:pPr>
              <w:spacing w:line="240" w:lineRule="exact"/>
              <w:jc w:val="center"/>
              <w:rPr>
                <w:rFonts w:ascii="宋体" w:hAnsi="宋体" w:cs="宋体"/>
              </w:rPr>
            </w:pPr>
            <w:r>
              <w:rPr>
                <w:rFonts w:hint="eastAsia" w:ascii="宋体" w:hAnsi="宋体" w:cs="宋体"/>
              </w:rPr>
              <w:t>完成率</w:t>
            </w:r>
          </w:p>
          <w:p w14:paraId="73E437F1">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tcPr>
          <w:p w14:paraId="29DDDA69">
            <w:pPr>
              <w:tabs>
                <w:tab w:val="left" w:pos="2604"/>
              </w:tabs>
              <w:spacing w:line="240" w:lineRule="exact"/>
              <w:ind w:left="105" w:leftChars="50" w:right="105" w:rightChars="50" w:firstLine="96" w:firstLineChars="46"/>
              <w:rPr>
                <w:rFonts w:ascii="宋体" w:cs="宋体"/>
              </w:rPr>
            </w:pPr>
            <w:r>
              <w:rPr>
                <w:rFonts w:hint="eastAsia" w:ascii="宋体" w:cs="宋体"/>
              </w:rPr>
              <w:t>8</w:t>
            </w:r>
          </w:p>
        </w:tc>
        <w:tc>
          <w:tcPr>
            <w:tcW w:w="1576" w:type="pct"/>
            <w:tcMar>
              <w:top w:w="10" w:type="dxa"/>
              <w:left w:w="10" w:type="dxa"/>
              <w:bottom w:w="0" w:type="dxa"/>
              <w:right w:w="10" w:type="dxa"/>
            </w:tcMar>
            <w:vAlign w:val="center"/>
          </w:tcPr>
          <w:p w14:paraId="077439CB">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14:paraId="100ED865">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14:paraId="4D0D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8" w:hRule="atLeast"/>
          <w:jc w:val="center"/>
        </w:trPr>
        <w:tc>
          <w:tcPr>
            <w:tcW w:w="307" w:type="pct"/>
            <w:vMerge w:val="continue"/>
            <w:textDirection w:val="tbRlV"/>
            <w:vAlign w:val="center"/>
          </w:tcPr>
          <w:p w14:paraId="1E03CF00">
            <w:pPr>
              <w:spacing w:line="240" w:lineRule="exact"/>
              <w:ind w:left="113"/>
              <w:jc w:val="center"/>
              <w:rPr>
                <w:rFonts w:ascii="宋体" w:cs="宋体"/>
              </w:rPr>
            </w:pPr>
          </w:p>
        </w:tc>
        <w:tc>
          <w:tcPr>
            <w:tcW w:w="375" w:type="pct"/>
            <w:vMerge w:val="continue"/>
            <w:vAlign w:val="center"/>
          </w:tcPr>
          <w:p w14:paraId="7A2B751A">
            <w:pPr>
              <w:spacing w:line="240" w:lineRule="exact"/>
              <w:jc w:val="center"/>
              <w:rPr>
                <w:rFonts w:ascii="宋体" w:cs="宋体"/>
              </w:rPr>
            </w:pPr>
          </w:p>
        </w:tc>
        <w:tc>
          <w:tcPr>
            <w:tcW w:w="500" w:type="pct"/>
            <w:tcMar>
              <w:top w:w="10" w:type="dxa"/>
              <w:left w:w="10" w:type="dxa"/>
              <w:bottom w:w="0" w:type="dxa"/>
              <w:right w:w="10" w:type="dxa"/>
            </w:tcMar>
            <w:vAlign w:val="center"/>
          </w:tcPr>
          <w:p w14:paraId="3C8DAED0">
            <w:pPr>
              <w:spacing w:line="240" w:lineRule="exact"/>
              <w:jc w:val="center"/>
              <w:rPr>
                <w:rFonts w:ascii="宋体" w:cs="宋体"/>
              </w:rPr>
            </w:pPr>
            <w:r>
              <w:rPr>
                <w:rFonts w:hint="eastAsia" w:ascii="宋体" w:hAnsi="宋体" w:cs="宋体"/>
              </w:rPr>
              <w:t>完成</w:t>
            </w:r>
          </w:p>
          <w:p w14:paraId="113BB36C">
            <w:pPr>
              <w:spacing w:line="240" w:lineRule="exact"/>
              <w:jc w:val="center"/>
              <w:rPr>
                <w:rFonts w:ascii="宋体" w:hAnsi="宋体" w:cs="宋体"/>
              </w:rPr>
            </w:pPr>
            <w:r>
              <w:rPr>
                <w:rFonts w:hint="eastAsia" w:ascii="宋体" w:hAnsi="宋体" w:cs="宋体"/>
              </w:rPr>
              <w:t>及时率</w:t>
            </w:r>
          </w:p>
          <w:p w14:paraId="03A36849">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tcPr>
          <w:p w14:paraId="19AE745B">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1576" w:type="pct"/>
            <w:tcMar>
              <w:top w:w="10" w:type="dxa"/>
              <w:left w:w="10" w:type="dxa"/>
              <w:bottom w:w="0" w:type="dxa"/>
              <w:right w:w="10" w:type="dxa"/>
            </w:tcMar>
            <w:vAlign w:val="center"/>
          </w:tcPr>
          <w:p w14:paraId="75B08E87">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14:paraId="25041457">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14:paraId="78B4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0" w:hRule="atLeast"/>
          <w:jc w:val="center"/>
        </w:trPr>
        <w:tc>
          <w:tcPr>
            <w:tcW w:w="307" w:type="pct"/>
            <w:vMerge w:val="continue"/>
            <w:vAlign w:val="center"/>
          </w:tcPr>
          <w:p w14:paraId="5991E1BA">
            <w:pPr>
              <w:spacing w:line="240" w:lineRule="exact"/>
              <w:rPr>
                <w:rFonts w:ascii="宋体" w:cs="宋体"/>
              </w:rPr>
            </w:pPr>
          </w:p>
        </w:tc>
        <w:tc>
          <w:tcPr>
            <w:tcW w:w="375" w:type="pct"/>
            <w:vMerge w:val="continue"/>
            <w:vAlign w:val="center"/>
          </w:tcPr>
          <w:p w14:paraId="059D2A86">
            <w:pPr>
              <w:spacing w:line="240" w:lineRule="exact"/>
              <w:rPr>
                <w:rFonts w:ascii="宋体" w:cs="宋体"/>
              </w:rPr>
            </w:pPr>
          </w:p>
        </w:tc>
        <w:tc>
          <w:tcPr>
            <w:tcW w:w="500" w:type="pct"/>
            <w:tcMar>
              <w:top w:w="10" w:type="dxa"/>
              <w:left w:w="10" w:type="dxa"/>
              <w:bottom w:w="0" w:type="dxa"/>
              <w:right w:w="10" w:type="dxa"/>
            </w:tcMar>
            <w:vAlign w:val="center"/>
          </w:tcPr>
          <w:p w14:paraId="057EB2CE">
            <w:pPr>
              <w:spacing w:line="240" w:lineRule="exact"/>
              <w:jc w:val="center"/>
              <w:rPr>
                <w:rFonts w:ascii="宋体" w:cs="宋体"/>
              </w:rPr>
            </w:pPr>
            <w:r>
              <w:rPr>
                <w:rFonts w:hint="eastAsia" w:ascii="宋体" w:hAnsi="宋体" w:cs="宋体"/>
              </w:rPr>
              <w:t>质量</w:t>
            </w:r>
          </w:p>
          <w:p w14:paraId="0292B751">
            <w:pPr>
              <w:spacing w:line="240" w:lineRule="exact"/>
              <w:jc w:val="center"/>
              <w:rPr>
                <w:rFonts w:ascii="宋体" w:hAnsi="宋体" w:cs="宋体"/>
              </w:rPr>
            </w:pPr>
            <w:r>
              <w:rPr>
                <w:rFonts w:hint="eastAsia" w:ascii="宋体" w:hAnsi="宋体" w:cs="宋体"/>
              </w:rPr>
              <w:t>达标率</w:t>
            </w:r>
          </w:p>
          <w:p w14:paraId="4BFA13AE">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tcPr>
          <w:p w14:paraId="7566954A">
            <w:pPr>
              <w:tabs>
                <w:tab w:val="left" w:pos="2604"/>
              </w:tabs>
              <w:spacing w:line="240" w:lineRule="exact"/>
              <w:ind w:left="105" w:leftChars="50" w:right="105" w:rightChars="50" w:firstLine="96" w:firstLineChars="46"/>
              <w:rPr>
                <w:rFonts w:ascii="宋体" w:cs="宋体"/>
              </w:rPr>
            </w:pPr>
            <w:r>
              <w:rPr>
                <w:rFonts w:hint="eastAsia" w:ascii="宋体" w:cs="宋体"/>
              </w:rPr>
              <w:t>7</w:t>
            </w:r>
          </w:p>
        </w:tc>
        <w:tc>
          <w:tcPr>
            <w:tcW w:w="1576" w:type="pct"/>
            <w:tcMar>
              <w:top w:w="10" w:type="dxa"/>
              <w:left w:w="10" w:type="dxa"/>
              <w:bottom w:w="0" w:type="dxa"/>
              <w:right w:w="10" w:type="dxa"/>
            </w:tcMar>
            <w:vAlign w:val="center"/>
          </w:tcPr>
          <w:p w14:paraId="47264B2D">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14:paraId="52B4548F">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14:paraId="11FB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14:paraId="7B8496FC">
            <w:pPr>
              <w:spacing w:line="240" w:lineRule="exact"/>
              <w:rPr>
                <w:rFonts w:ascii="宋体" w:cs="宋体"/>
              </w:rPr>
            </w:pPr>
          </w:p>
        </w:tc>
        <w:tc>
          <w:tcPr>
            <w:tcW w:w="375" w:type="pct"/>
            <w:vMerge w:val="continue"/>
            <w:vAlign w:val="center"/>
          </w:tcPr>
          <w:p w14:paraId="45BA9D1D">
            <w:pPr>
              <w:spacing w:line="240" w:lineRule="exact"/>
              <w:rPr>
                <w:rFonts w:ascii="宋体" w:cs="宋体"/>
              </w:rPr>
            </w:pPr>
          </w:p>
        </w:tc>
        <w:tc>
          <w:tcPr>
            <w:tcW w:w="500" w:type="pct"/>
            <w:tcMar>
              <w:top w:w="10" w:type="dxa"/>
              <w:left w:w="10" w:type="dxa"/>
              <w:bottom w:w="0" w:type="dxa"/>
              <w:right w:w="10" w:type="dxa"/>
            </w:tcMar>
            <w:vAlign w:val="center"/>
          </w:tcPr>
          <w:p w14:paraId="45C08893">
            <w:pPr>
              <w:spacing w:line="240" w:lineRule="exact"/>
              <w:jc w:val="center"/>
              <w:rPr>
                <w:rFonts w:ascii="宋体" w:cs="宋体"/>
              </w:rPr>
            </w:pPr>
            <w:r>
              <w:rPr>
                <w:rFonts w:hint="eastAsia" w:ascii="宋体" w:hAnsi="宋体" w:cs="宋体"/>
              </w:rPr>
              <w:t>重点工作</w:t>
            </w:r>
          </w:p>
          <w:p w14:paraId="1F8F9BE6">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tcPr>
          <w:p w14:paraId="08478319">
            <w:pPr>
              <w:tabs>
                <w:tab w:val="left" w:pos="2604"/>
              </w:tabs>
              <w:spacing w:line="240" w:lineRule="exact"/>
              <w:ind w:left="105" w:leftChars="50" w:right="105" w:rightChars="50" w:firstLine="96" w:firstLineChars="46"/>
              <w:rPr>
                <w:rFonts w:ascii="宋体" w:cs="宋体"/>
              </w:rPr>
            </w:pPr>
            <w:r>
              <w:rPr>
                <w:rFonts w:hint="eastAsia" w:ascii="宋体" w:cs="宋体"/>
              </w:rPr>
              <w:t>10</w:t>
            </w:r>
          </w:p>
        </w:tc>
        <w:tc>
          <w:tcPr>
            <w:tcW w:w="1576" w:type="pct"/>
            <w:tcMar>
              <w:top w:w="10" w:type="dxa"/>
              <w:left w:w="10" w:type="dxa"/>
              <w:bottom w:w="0" w:type="dxa"/>
              <w:right w:w="10" w:type="dxa"/>
            </w:tcMar>
            <w:vAlign w:val="center"/>
          </w:tcPr>
          <w:p w14:paraId="0A1D459E">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14:paraId="6C43F0E2">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14:paraId="25ED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307" w:type="pct"/>
            <w:vMerge w:val="restart"/>
            <w:noWrap/>
            <w:tcMar>
              <w:top w:w="10" w:type="dxa"/>
              <w:left w:w="10" w:type="dxa"/>
              <w:bottom w:w="0" w:type="dxa"/>
              <w:right w:w="10" w:type="dxa"/>
            </w:tcMar>
            <w:textDirection w:val="tbRlV"/>
            <w:vAlign w:val="center"/>
          </w:tcPr>
          <w:p w14:paraId="6D261A0E">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14:paraId="0CE07737">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14:paraId="34915F04">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tcPr>
          <w:p w14:paraId="0C96BB52">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14:paraId="3C788C7D">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14:paraId="551839BD">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14:paraId="0C48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307" w:type="pct"/>
            <w:vMerge w:val="continue"/>
            <w:vAlign w:val="center"/>
          </w:tcPr>
          <w:p w14:paraId="73DF713B">
            <w:pPr>
              <w:spacing w:line="240" w:lineRule="exact"/>
              <w:rPr>
                <w:rFonts w:ascii="宋体" w:cs="宋体"/>
              </w:rPr>
            </w:pPr>
          </w:p>
        </w:tc>
        <w:tc>
          <w:tcPr>
            <w:tcW w:w="375" w:type="pct"/>
            <w:vMerge w:val="continue"/>
            <w:vAlign w:val="center"/>
          </w:tcPr>
          <w:p w14:paraId="6421B10C">
            <w:pPr>
              <w:spacing w:line="240" w:lineRule="exact"/>
              <w:rPr>
                <w:rFonts w:ascii="宋体" w:cs="宋体"/>
              </w:rPr>
            </w:pPr>
          </w:p>
        </w:tc>
        <w:tc>
          <w:tcPr>
            <w:tcW w:w="500" w:type="pct"/>
            <w:tcMar>
              <w:top w:w="10" w:type="dxa"/>
              <w:left w:w="10" w:type="dxa"/>
              <w:bottom w:w="0" w:type="dxa"/>
              <w:right w:w="10" w:type="dxa"/>
            </w:tcMar>
            <w:vAlign w:val="center"/>
          </w:tcPr>
          <w:p w14:paraId="456D5143">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tcPr>
          <w:p w14:paraId="72E1AEA2">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14:paraId="69D017B6">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vAlign w:val="center"/>
          </w:tcPr>
          <w:p w14:paraId="0CB5BF95">
            <w:pPr>
              <w:spacing w:line="240" w:lineRule="exact"/>
              <w:ind w:left="105" w:leftChars="50" w:right="105" w:rightChars="50"/>
              <w:rPr>
                <w:rFonts w:ascii="宋体" w:cs="宋体"/>
              </w:rPr>
            </w:pPr>
          </w:p>
        </w:tc>
      </w:tr>
      <w:tr w14:paraId="1B8F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307" w:type="pct"/>
            <w:vMerge w:val="continue"/>
            <w:vAlign w:val="center"/>
          </w:tcPr>
          <w:p w14:paraId="0A13E6C5">
            <w:pPr>
              <w:spacing w:line="240" w:lineRule="exact"/>
              <w:rPr>
                <w:rFonts w:ascii="宋体" w:cs="宋体"/>
              </w:rPr>
            </w:pPr>
          </w:p>
        </w:tc>
        <w:tc>
          <w:tcPr>
            <w:tcW w:w="375" w:type="pct"/>
            <w:vMerge w:val="continue"/>
            <w:vAlign w:val="center"/>
          </w:tcPr>
          <w:p w14:paraId="2008ACED">
            <w:pPr>
              <w:spacing w:line="240" w:lineRule="exact"/>
              <w:rPr>
                <w:rFonts w:ascii="宋体" w:cs="宋体"/>
              </w:rPr>
            </w:pPr>
          </w:p>
        </w:tc>
        <w:tc>
          <w:tcPr>
            <w:tcW w:w="500" w:type="pct"/>
            <w:tcMar>
              <w:top w:w="10" w:type="dxa"/>
              <w:left w:w="10" w:type="dxa"/>
              <w:bottom w:w="0" w:type="dxa"/>
              <w:right w:w="10" w:type="dxa"/>
            </w:tcMar>
            <w:vAlign w:val="center"/>
          </w:tcPr>
          <w:p w14:paraId="1F5CE6FA">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tcPr>
          <w:p w14:paraId="045C79D9">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14:paraId="6AD1EF97">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vAlign w:val="center"/>
          </w:tcPr>
          <w:p w14:paraId="7C5C874E">
            <w:pPr>
              <w:spacing w:line="240" w:lineRule="exact"/>
              <w:ind w:left="105" w:leftChars="50" w:right="105" w:rightChars="50"/>
              <w:rPr>
                <w:rFonts w:ascii="宋体" w:cs="宋体"/>
              </w:rPr>
            </w:pPr>
          </w:p>
        </w:tc>
      </w:tr>
      <w:tr w14:paraId="68CC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14:paraId="576E4CDF">
            <w:pPr>
              <w:spacing w:line="240" w:lineRule="exact"/>
              <w:rPr>
                <w:rFonts w:ascii="宋体" w:cs="宋体"/>
              </w:rPr>
            </w:pPr>
          </w:p>
        </w:tc>
        <w:tc>
          <w:tcPr>
            <w:tcW w:w="375" w:type="pct"/>
            <w:vMerge w:val="continue"/>
            <w:vAlign w:val="center"/>
          </w:tcPr>
          <w:p w14:paraId="3ABC9906">
            <w:pPr>
              <w:spacing w:line="240" w:lineRule="exact"/>
              <w:rPr>
                <w:rFonts w:ascii="宋体" w:cs="宋体"/>
              </w:rPr>
            </w:pPr>
          </w:p>
        </w:tc>
        <w:tc>
          <w:tcPr>
            <w:tcW w:w="500" w:type="pct"/>
            <w:tcMar>
              <w:top w:w="10" w:type="dxa"/>
              <w:left w:w="10" w:type="dxa"/>
              <w:bottom w:w="0" w:type="dxa"/>
              <w:right w:w="10" w:type="dxa"/>
            </w:tcMar>
            <w:vAlign w:val="center"/>
          </w:tcPr>
          <w:p w14:paraId="37AB366C">
            <w:pPr>
              <w:spacing w:line="240" w:lineRule="exact"/>
              <w:jc w:val="center"/>
              <w:rPr>
                <w:rFonts w:ascii="宋体" w:cs="宋体"/>
              </w:rPr>
            </w:pPr>
            <w:r>
              <w:rPr>
                <w:rFonts w:hint="eastAsia" w:ascii="宋体" w:hAnsi="宋体" w:cs="宋体"/>
              </w:rPr>
              <w:t>社会公众</w:t>
            </w:r>
          </w:p>
          <w:p w14:paraId="146D5559">
            <w:pPr>
              <w:spacing w:line="240" w:lineRule="exact"/>
              <w:jc w:val="center"/>
              <w:rPr>
                <w:rFonts w:ascii="宋体" w:cs="宋体"/>
              </w:rPr>
            </w:pPr>
            <w:r>
              <w:rPr>
                <w:rFonts w:hint="eastAsia" w:ascii="宋体" w:hAnsi="宋体" w:cs="宋体"/>
              </w:rPr>
              <w:t>或服务对</w:t>
            </w:r>
          </w:p>
          <w:p w14:paraId="0D79A61D">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tcPr>
          <w:p w14:paraId="34B50A5F">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14:paraId="7FF621AF">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14:paraId="016ECA24">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14:paraId="7DD5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14:paraId="51C09455">
            <w:pPr>
              <w:spacing w:line="240" w:lineRule="exact"/>
              <w:rPr>
                <w:rFonts w:ascii="宋体" w:cs="宋体"/>
              </w:rPr>
            </w:pPr>
            <w:r>
              <w:rPr>
                <w:rFonts w:hint="eastAsia" w:ascii="宋体" w:hAnsi="宋体" w:cs="宋体"/>
              </w:rPr>
              <w:t>总分</w:t>
            </w:r>
          </w:p>
        </w:tc>
        <w:tc>
          <w:tcPr>
            <w:tcW w:w="375" w:type="pct"/>
            <w:vAlign w:val="center"/>
          </w:tcPr>
          <w:p w14:paraId="7D8B0A1E">
            <w:pPr>
              <w:spacing w:line="240" w:lineRule="exact"/>
              <w:rPr>
                <w:rFonts w:ascii="宋体" w:cs="宋体"/>
              </w:rPr>
            </w:pPr>
          </w:p>
        </w:tc>
        <w:tc>
          <w:tcPr>
            <w:tcW w:w="500" w:type="pct"/>
            <w:tcMar>
              <w:top w:w="10" w:type="dxa"/>
              <w:left w:w="10" w:type="dxa"/>
              <w:bottom w:w="0" w:type="dxa"/>
              <w:right w:w="10" w:type="dxa"/>
            </w:tcMar>
            <w:vAlign w:val="center"/>
          </w:tcPr>
          <w:p w14:paraId="5CF6824E">
            <w:pPr>
              <w:spacing w:line="240" w:lineRule="exact"/>
              <w:jc w:val="center"/>
              <w:rPr>
                <w:rFonts w:ascii="宋体" w:cs="宋体"/>
              </w:rPr>
            </w:pPr>
          </w:p>
        </w:tc>
        <w:tc>
          <w:tcPr>
            <w:tcW w:w="375" w:type="pct"/>
          </w:tcPr>
          <w:p w14:paraId="7CE231A8">
            <w:pPr>
              <w:tabs>
                <w:tab w:val="left" w:pos="2604"/>
              </w:tabs>
              <w:spacing w:line="240" w:lineRule="exact"/>
              <w:ind w:left="105" w:leftChars="50" w:right="105" w:rightChars="50" w:firstLine="96" w:firstLineChars="46"/>
              <w:rPr>
                <w:rFonts w:ascii="宋体" w:cs="宋体"/>
              </w:rPr>
            </w:pPr>
            <w:r>
              <w:rPr>
                <w:rFonts w:hint="eastAsia" w:ascii="宋体" w:cs="宋体"/>
              </w:rPr>
              <w:t>95</w:t>
            </w:r>
          </w:p>
        </w:tc>
        <w:tc>
          <w:tcPr>
            <w:tcW w:w="1576" w:type="pct"/>
            <w:tcMar>
              <w:top w:w="10" w:type="dxa"/>
              <w:left w:w="10" w:type="dxa"/>
              <w:bottom w:w="0" w:type="dxa"/>
              <w:right w:w="10" w:type="dxa"/>
            </w:tcMar>
            <w:vAlign w:val="center"/>
          </w:tcPr>
          <w:p w14:paraId="3942B9D7">
            <w:pPr>
              <w:tabs>
                <w:tab w:val="left" w:pos="2604"/>
              </w:tabs>
              <w:spacing w:line="240" w:lineRule="exact"/>
              <w:ind w:left="105" w:leftChars="50" w:right="105" w:rightChars="50" w:firstLine="96" w:firstLineChars="46"/>
              <w:rPr>
                <w:rFonts w:ascii="宋体" w:cs="宋体"/>
              </w:rPr>
            </w:pPr>
          </w:p>
        </w:tc>
        <w:tc>
          <w:tcPr>
            <w:tcW w:w="1867" w:type="pct"/>
            <w:tcMar>
              <w:top w:w="10" w:type="dxa"/>
              <w:left w:w="10" w:type="dxa"/>
              <w:bottom w:w="0" w:type="dxa"/>
              <w:right w:w="10" w:type="dxa"/>
            </w:tcMar>
            <w:vAlign w:val="center"/>
          </w:tcPr>
          <w:p w14:paraId="33BD29A6">
            <w:pPr>
              <w:spacing w:line="240" w:lineRule="exact"/>
              <w:ind w:left="105" w:leftChars="50" w:right="105" w:rightChars="50"/>
              <w:rPr>
                <w:rFonts w:ascii="宋体" w:cs="宋体"/>
              </w:rPr>
            </w:pPr>
          </w:p>
        </w:tc>
      </w:tr>
    </w:tbl>
    <w:p w14:paraId="00BBB03B">
      <w:pPr>
        <w:jc w:val="center"/>
      </w:pPr>
      <w:r>
        <w:br w:type="page"/>
      </w:r>
    </w:p>
    <w:p w14:paraId="42062D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8A2BA"/>
    <w:multiLevelType w:val="singleLevel"/>
    <w:tmpl w:val="F8A8A2BA"/>
    <w:lvl w:ilvl="0" w:tentative="0">
      <w:start w:val="3"/>
      <w:numFmt w:val="chineseCounting"/>
      <w:suff w:val="nothing"/>
      <w:lvlText w:val="%1、"/>
      <w:lvlJc w:val="left"/>
      <w:rPr>
        <w:rFonts w:hint="eastAsia"/>
      </w:rPr>
    </w:lvl>
  </w:abstractNum>
  <w:abstractNum w:abstractNumId="1">
    <w:nsid w:val="2ADBC74C"/>
    <w:multiLevelType w:val="singleLevel"/>
    <w:tmpl w:val="2ADBC74C"/>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Q3ZDRkNTkxMzRiYWQ3ODFjNjM3YTMzZWRlYjFjZmQifQ=="/>
  </w:docVars>
  <w:rsids>
    <w:rsidRoot w:val="00423ABC"/>
    <w:rsid w:val="00423ABC"/>
    <w:rsid w:val="005724E1"/>
    <w:rsid w:val="349B1388"/>
    <w:rsid w:val="773F2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styleId="3">
    <w:name w:val="annotation text"/>
    <w:basedOn w:val="1"/>
    <w:semiHidden/>
    <w:unhideWhenUsed/>
    <w:qFormat/>
    <w:uiPriority w:val="99"/>
    <w:pPr>
      <w:jc w:val="left"/>
    </w:pPr>
  </w:style>
  <w:style w:type="paragraph" w:styleId="4">
    <w:name w:val="Body Text Indent"/>
    <w:basedOn w:val="1"/>
    <w:semiHidden/>
    <w:unhideWhenUsed/>
    <w:qFormat/>
    <w:uiPriority w:val="99"/>
    <w:pPr>
      <w:spacing w:after="120"/>
      <w:ind w:left="420" w:leftChars="200"/>
    </w:pPr>
  </w:style>
  <w:style w:type="paragraph" w:styleId="5">
    <w:name w:val="Balloon Text"/>
    <w:basedOn w:val="1"/>
    <w:link w:val="13"/>
    <w:qFormat/>
    <w:uiPriority w:val="0"/>
    <w:rPr>
      <w:sz w:val="18"/>
      <w:szCs w:val="18"/>
    </w:rPr>
  </w:style>
  <w:style w:type="paragraph" w:styleId="6">
    <w:name w:val="Normal (Web)"/>
    <w:basedOn w:val="1"/>
    <w:unhideWhenUsed/>
    <w:qFormat/>
    <w:uiPriority w:val="99"/>
    <w:pPr>
      <w:widowControl/>
      <w:spacing w:before="100" w:beforeAutospacing="1" w:after="100" w:afterAutospacing="1"/>
      <w:jc w:val="left"/>
    </w:pPr>
    <w:rPr>
      <w:rFonts w:hint="eastAsia" w:ascii="宋体" w:hAnsi="宋体" w:cs="宋体"/>
      <w:sz w:val="24"/>
      <w:szCs w:val="24"/>
    </w:rPr>
  </w:style>
  <w:style w:type="paragraph" w:styleId="7">
    <w:name w:val="Body Text First Indent 2"/>
    <w:basedOn w:val="4"/>
    <w:unhideWhenUsed/>
    <w:qFormat/>
    <w:uiPriority w:val="99"/>
    <w:pPr>
      <w:spacing w:after="0"/>
      <w:ind w:left="0" w:leftChars="0" w:firstLine="420"/>
    </w:pPr>
    <w:rPr>
      <w:sz w:val="24"/>
      <w:szCs w:val="20"/>
    </w:rPr>
  </w:style>
  <w:style w:type="character" w:styleId="10">
    <w:name w:val="annotation reference"/>
    <w:basedOn w:val="9"/>
    <w:qFormat/>
    <w:uiPriority w:val="0"/>
    <w:rPr>
      <w:sz w:val="21"/>
      <w:szCs w:val="21"/>
    </w:rPr>
  </w:style>
  <w:style w:type="paragraph" w:customStyle="1" w:styleId="11">
    <w:name w:val="列表段落1"/>
    <w:basedOn w:val="1"/>
    <w:qFormat/>
    <w:uiPriority w:val="34"/>
    <w:pPr>
      <w:ind w:firstLine="420" w:firstLineChars="200"/>
    </w:pPr>
  </w:style>
  <w:style w:type="paragraph" w:customStyle="1" w:styleId="12">
    <w:name w:val="0"/>
    <w:basedOn w:val="1"/>
    <w:qFormat/>
    <w:uiPriority w:val="0"/>
    <w:pPr>
      <w:widowControl/>
      <w:spacing w:line="365" w:lineRule="atLeast"/>
      <w:ind w:left="1"/>
      <w:textAlignment w:val="bottom"/>
    </w:pPr>
    <w:rPr>
      <w:kern w:val="0"/>
      <w:sz w:val="20"/>
      <w:szCs w:val="20"/>
    </w:rPr>
  </w:style>
  <w:style w:type="character" w:customStyle="1" w:styleId="13">
    <w:name w:val="批注框文本 Char"/>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8315</Words>
  <Characters>8978</Characters>
  <Lines>11</Lines>
  <Paragraphs>26</Paragraphs>
  <TotalTime>1</TotalTime>
  <ScaleCrop>false</ScaleCrop>
  <LinksUpToDate>false</LinksUpToDate>
  <CharactersWithSpaces>9003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2023-06-27T07:37:00Z</dcterms:created>
  <dc:creator>admin-3</dc:creator>
  <cp:lastModifiedBy>龚晓豪</cp:lastModifiedBy>
  <dcterms:modified xsi:type="dcterms:W3CDTF">2025-10-31T08:26:03Z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82455991C4AF4E69B8ACB2C25069E2C2_12</vt:lpwstr>
  </property>
  <property fmtid="{D5CDD505-2E9C-101B-9397-08002B2CF9AE}" pid="4" name="KSOTemplateDocerSaveRecord">
    <vt:lpwstr>eyJoZGlkIjoiZmFjNWZlYzVjZTdjMmIwODViYjA2YjAwMDE4ZWEwYTYiLCJ1c2VySWQiOiIxMTY5NTQ3NTE0In0=</vt:lpwstr>
  </property>
</Properties>
</file>