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0B227C">
      <w:pPr>
        <w:spacing w:line="480" w:lineRule="exact"/>
        <w:rPr>
          <w:rFonts w:ascii="黑体" w:hAnsi="黑体" w:eastAsia="黑体"/>
          <w:sz w:val="32"/>
          <w:szCs w:val="32"/>
        </w:rPr>
      </w:pPr>
      <w:r>
        <w:rPr>
          <w:rFonts w:hint="eastAsia" w:ascii="黑体" w:hAnsi="黑体" w:eastAsia="黑体"/>
          <w:sz w:val="32"/>
          <w:szCs w:val="32"/>
        </w:rPr>
        <w:t>附件4：</w:t>
      </w:r>
    </w:p>
    <w:p w14:paraId="12B7CD8C">
      <w:pPr>
        <w:spacing w:line="480" w:lineRule="exact"/>
        <w:jc w:val="center"/>
        <w:rPr>
          <w:rFonts w:ascii="方正小标宋简体" w:eastAsia="方正小标宋简体"/>
          <w:sz w:val="32"/>
          <w:szCs w:val="32"/>
        </w:rPr>
      </w:pPr>
      <w:r>
        <w:rPr>
          <w:rFonts w:hint="eastAsia" w:ascii="方正小标宋简体" w:eastAsia="方正小标宋简体" w:cs="方正小标宋_GBK"/>
          <w:sz w:val="36"/>
          <w:szCs w:val="36"/>
        </w:rPr>
        <w:t>赫山区劳动就业服务中心</w:t>
      </w:r>
      <w:r>
        <w:rPr>
          <w:rFonts w:ascii="方正小标宋简体" w:eastAsia="方正小标宋简体" w:cs="方正小标宋_GBK"/>
          <w:sz w:val="36"/>
          <w:szCs w:val="36"/>
        </w:rPr>
        <w:br w:type="textWrapping"/>
      </w:r>
      <w:r>
        <w:rPr>
          <w:rFonts w:hint="eastAsia" w:ascii="方正小标宋简体" w:eastAsia="方正小标宋简体" w:cs="方正小标宋_GBK"/>
          <w:sz w:val="36"/>
          <w:szCs w:val="36"/>
        </w:rPr>
        <w:t>2022年部门整体支出绩效评价报告</w:t>
      </w:r>
    </w:p>
    <w:p w14:paraId="10BE2AE6">
      <w:pPr>
        <w:spacing w:line="480" w:lineRule="exact"/>
        <w:jc w:val="center"/>
        <w:rPr>
          <w:rFonts w:eastAsia="方正小标宋_GBK"/>
          <w:sz w:val="32"/>
          <w:szCs w:val="32"/>
        </w:rPr>
      </w:pPr>
    </w:p>
    <w:p w14:paraId="49068D1A">
      <w:pPr>
        <w:pStyle w:val="8"/>
        <w:widowControl/>
        <w:spacing w:line="560" w:lineRule="exact"/>
        <w:ind w:firstLineChars="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为进一步规范财政资金管理，牢固树立预算绩效理念，强化部门支出责任，提高财政资金使用效益，根据《益阳市赫山区财政局关于做好202</w:t>
      </w:r>
      <w:r>
        <w:rPr>
          <w:rFonts w:hint="eastAsia" w:ascii="Times New Roman" w:hAnsi="Times New Roman" w:eastAsia="仿宋_GB2312" w:cs="Times New Roman"/>
          <w:sz w:val="32"/>
          <w:szCs w:val="32"/>
          <w:lang w:val="zh-CN"/>
        </w:rPr>
        <w:t>2</w:t>
      </w:r>
      <w:r>
        <w:rPr>
          <w:rFonts w:ascii="Times New Roman" w:hAnsi="Times New Roman" w:eastAsia="仿宋_GB2312" w:cs="Times New Roman"/>
          <w:sz w:val="32"/>
          <w:szCs w:val="32"/>
          <w:lang w:val="zh-CN"/>
        </w:rPr>
        <w:t>年度预算绩效自评工作的通知》（益赫财绩〔202</w:t>
      </w:r>
      <w:r>
        <w:rPr>
          <w:rFonts w:hint="eastAsia" w:ascii="Times New Roman" w:hAnsi="Times New Roman" w:eastAsia="仿宋_GB2312" w:cs="Times New Roman"/>
          <w:sz w:val="32"/>
          <w:szCs w:val="32"/>
          <w:lang w:val="zh-CN"/>
        </w:rPr>
        <w:t>3</w:t>
      </w:r>
      <w:r>
        <w:rPr>
          <w:rFonts w:ascii="Times New Roman" w:hAnsi="Times New Roman" w:eastAsia="仿宋_GB2312" w:cs="Times New Roman"/>
          <w:sz w:val="32"/>
          <w:szCs w:val="32"/>
          <w:lang w:val="zh-CN"/>
        </w:rPr>
        <w:t>〕</w:t>
      </w:r>
      <w:r>
        <w:rPr>
          <w:rFonts w:hint="eastAsia" w:ascii="Times New Roman" w:hAnsi="Times New Roman" w:eastAsia="仿宋_GB2312" w:cs="Times New Roman"/>
          <w:sz w:val="32"/>
          <w:szCs w:val="32"/>
          <w:lang w:val="zh-CN"/>
        </w:rPr>
        <w:t>2</w:t>
      </w:r>
      <w:r>
        <w:rPr>
          <w:rFonts w:ascii="Times New Roman" w:hAnsi="Times New Roman" w:eastAsia="仿宋_GB2312" w:cs="Times New Roman"/>
          <w:sz w:val="32"/>
          <w:szCs w:val="32"/>
          <w:lang w:val="zh-CN"/>
        </w:rPr>
        <w:t>号）的文件精神，我们对202</w:t>
      </w:r>
      <w:r>
        <w:rPr>
          <w:rFonts w:hint="eastAsia" w:ascii="Times New Roman" w:hAnsi="Times New Roman" w:eastAsia="仿宋_GB2312" w:cs="Times New Roman"/>
          <w:sz w:val="32"/>
          <w:szCs w:val="32"/>
          <w:lang w:val="zh-CN"/>
        </w:rPr>
        <w:t>2</w:t>
      </w:r>
      <w:r>
        <w:rPr>
          <w:rFonts w:ascii="Times New Roman" w:hAnsi="Times New Roman" w:eastAsia="仿宋_GB2312" w:cs="Times New Roman"/>
          <w:sz w:val="32"/>
          <w:szCs w:val="32"/>
          <w:lang w:val="zh-CN"/>
        </w:rPr>
        <w:t xml:space="preserve">年度部门整体支出绩效进行了认真自评，总体自我评价是：财政资金预算配置合理合规，预算执行严格有序，预算管理规范可控，资金效益合乎预期。现将情况报告如下: </w:t>
      </w:r>
    </w:p>
    <w:p w14:paraId="41AF1C18">
      <w:pPr>
        <w:pStyle w:val="8"/>
        <w:widowControl/>
        <w:numPr>
          <w:ilvl w:val="0"/>
          <w:numId w:val="1"/>
        </w:numPr>
        <w:spacing w:line="480" w:lineRule="exact"/>
        <w:ind w:firstLineChars="0"/>
        <w:rPr>
          <w:rFonts w:ascii="Times New Roman" w:hAnsi="Times New Roman" w:eastAsia="黑体" w:cs="黑体"/>
          <w:sz w:val="32"/>
          <w:szCs w:val="32"/>
        </w:rPr>
      </w:pPr>
      <w:r>
        <w:rPr>
          <w:rFonts w:hint="eastAsia" w:ascii="Times New Roman" w:hAnsi="Times New Roman" w:eastAsia="黑体" w:cs="黑体"/>
          <w:sz w:val="32"/>
          <w:szCs w:val="32"/>
        </w:rPr>
        <w:t>单位基本情况</w:t>
      </w:r>
    </w:p>
    <w:p w14:paraId="3088E9D4">
      <w:pPr>
        <w:pStyle w:val="8"/>
        <w:widowControl/>
        <w:spacing w:line="560" w:lineRule="exact"/>
        <w:ind w:firstLineChars="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我单位归属益阳市赫山区人力资源和社会保障局管理的具有行政职能的副科级差额拨款事业单位，负责全区就业培训和再就业服务工作、全区失业保险工作及劳服企业和社区就业工作的具体经办机构。中心设有综合办公室、失业保险股、就业培训股、城乡就业股</w:t>
      </w:r>
      <w:r>
        <w:rPr>
          <w:rFonts w:ascii="Times New Roman" w:hAnsi="Times New Roman" w:eastAsia="仿宋_GB2312" w:cs="Times New Roman"/>
          <w:sz w:val="32"/>
          <w:szCs w:val="32"/>
        </w:rPr>
        <w:t>4</w:t>
      </w:r>
      <w:r>
        <w:rPr>
          <w:rFonts w:ascii="Times New Roman" w:hAnsi="Times New Roman" w:eastAsia="仿宋_GB2312" w:cs="Times New Roman"/>
          <w:sz w:val="32"/>
          <w:szCs w:val="32"/>
          <w:lang w:val="zh-CN"/>
        </w:rPr>
        <w:t>个股室。内设主任</w:t>
      </w:r>
      <w:r>
        <w:rPr>
          <w:rFonts w:ascii="Times New Roman" w:hAnsi="Times New Roman" w:eastAsia="仿宋_GB2312" w:cs="Times New Roman"/>
          <w:sz w:val="32"/>
          <w:szCs w:val="32"/>
        </w:rPr>
        <w:t>1</w:t>
      </w:r>
      <w:r>
        <w:rPr>
          <w:rFonts w:ascii="Times New Roman" w:hAnsi="Times New Roman" w:eastAsia="仿宋_GB2312" w:cs="Times New Roman"/>
          <w:sz w:val="32"/>
          <w:szCs w:val="32"/>
          <w:lang w:val="zh-CN"/>
        </w:rPr>
        <w:t>名，副主任</w:t>
      </w:r>
      <w:r>
        <w:rPr>
          <w:rFonts w:ascii="Times New Roman" w:hAnsi="Times New Roman" w:eastAsia="仿宋_GB2312" w:cs="Times New Roman"/>
          <w:sz w:val="32"/>
          <w:szCs w:val="32"/>
        </w:rPr>
        <w:t>2</w:t>
      </w:r>
      <w:r>
        <w:rPr>
          <w:rFonts w:ascii="Times New Roman" w:hAnsi="Times New Roman" w:eastAsia="仿宋_GB2312" w:cs="Times New Roman"/>
          <w:sz w:val="32"/>
          <w:szCs w:val="32"/>
          <w:lang w:val="zh-CN"/>
        </w:rPr>
        <w:t>名，股室长</w:t>
      </w:r>
      <w:r>
        <w:rPr>
          <w:rFonts w:ascii="Times New Roman" w:hAnsi="Times New Roman" w:eastAsia="仿宋_GB2312" w:cs="Times New Roman"/>
          <w:sz w:val="32"/>
          <w:szCs w:val="32"/>
        </w:rPr>
        <w:t>4</w:t>
      </w:r>
      <w:r>
        <w:rPr>
          <w:rFonts w:ascii="Times New Roman" w:hAnsi="Times New Roman" w:eastAsia="仿宋_GB2312" w:cs="Times New Roman"/>
          <w:sz w:val="32"/>
          <w:szCs w:val="32"/>
          <w:lang w:val="zh-CN"/>
        </w:rPr>
        <w:t>名。202</w:t>
      </w:r>
      <w:r>
        <w:rPr>
          <w:rFonts w:hint="eastAsia" w:ascii="Times New Roman" w:hAnsi="Times New Roman" w:eastAsia="仿宋_GB2312" w:cs="Times New Roman"/>
          <w:sz w:val="32"/>
          <w:szCs w:val="32"/>
          <w:lang w:val="zh-CN"/>
        </w:rPr>
        <w:t>2</w:t>
      </w:r>
      <w:r>
        <w:rPr>
          <w:rFonts w:ascii="Times New Roman" w:hAnsi="Times New Roman" w:eastAsia="仿宋_GB2312" w:cs="Times New Roman"/>
          <w:sz w:val="32"/>
          <w:szCs w:val="32"/>
          <w:lang w:val="zh-CN"/>
        </w:rPr>
        <w:t>年底在职干部职工共3</w:t>
      </w:r>
      <w:r>
        <w:rPr>
          <w:rFonts w:hint="eastAsia" w:ascii="Times New Roman" w:hAnsi="Times New Roman" w:eastAsia="仿宋_GB2312" w:cs="Times New Roman"/>
          <w:sz w:val="32"/>
          <w:szCs w:val="32"/>
          <w:lang w:val="zh-CN"/>
        </w:rPr>
        <w:t>1</w:t>
      </w:r>
      <w:r>
        <w:rPr>
          <w:rFonts w:ascii="Times New Roman" w:hAnsi="Times New Roman" w:eastAsia="仿宋_GB2312" w:cs="Times New Roman"/>
          <w:sz w:val="32"/>
          <w:szCs w:val="32"/>
          <w:lang w:val="zh-CN"/>
        </w:rPr>
        <w:t>人，全额编制</w:t>
      </w:r>
      <w:r>
        <w:rPr>
          <w:rFonts w:hint="eastAsia" w:ascii="Times New Roman" w:hAnsi="Times New Roman" w:eastAsia="仿宋_GB2312" w:cs="Times New Roman"/>
          <w:sz w:val="32"/>
          <w:szCs w:val="32"/>
        </w:rPr>
        <w:t>5</w:t>
      </w:r>
      <w:r>
        <w:rPr>
          <w:rFonts w:ascii="Times New Roman" w:hAnsi="Times New Roman" w:eastAsia="仿宋_GB2312" w:cs="Times New Roman"/>
          <w:sz w:val="32"/>
          <w:szCs w:val="32"/>
          <w:lang w:val="zh-CN"/>
        </w:rPr>
        <w:t>人，差额编制</w:t>
      </w:r>
      <w:r>
        <w:rPr>
          <w:rFonts w:hint="eastAsia" w:ascii="Times New Roman" w:hAnsi="Times New Roman" w:eastAsia="仿宋_GB2312" w:cs="Times New Roman"/>
          <w:sz w:val="32"/>
          <w:szCs w:val="32"/>
        </w:rPr>
        <w:t>7</w:t>
      </w:r>
      <w:r>
        <w:rPr>
          <w:rFonts w:ascii="Times New Roman" w:hAnsi="Times New Roman" w:eastAsia="仿宋_GB2312" w:cs="Times New Roman"/>
          <w:sz w:val="32"/>
          <w:szCs w:val="32"/>
          <w:lang w:val="zh-CN"/>
        </w:rPr>
        <w:t>人，自收自支</w:t>
      </w:r>
      <w:r>
        <w:rPr>
          <w:rFonts w:hint="eastAsia" w:ascii="Times New Roman" w:hAnsi="Times New Roman" w:eastAsia="仿宋_GB2312" w:cs="Times New Roman"/>
          <w:sz w:val="32"/>
          <w:szCs w:val="32"/>
        </w:rPr>
        <w:t>19</w:t>
      </w:r>
      <w:r>
        <w:rPr>
          <w:rFonts w:ascii="Times New Roman" w:hAnsi="Times New Roman" w:eastAsia="仿宋_GB2312" w:cs="Times New Roman"/>
          <w:sz w:val="32"/>
          <w:szCs w:val="32"/>
          <w:lang w:val="zh-CN"/>
        </w:rPr>
        <w:t>人（其中退役安置人员1</w:t>
      </w:r>
      <w:r>
        <w:rPr>
          <w:rFonts w:hint="eastAsia" w:ascii="Times New Roman" w:hAnsi="Times New Roman" w:eastAsia="仿宋_GB2312" w:cs="Times New Roman"/>
          <w:sz w:val="32"/>
          <w:szCs w:val="32"/>
          <w:lang w:val="zh-CN"/>
        </w:rPr>
        <w:t>5</w:t>
      </w:r>
      <w:r>
        <w:rPr>
          <w:rFonts w:ascii="Times New Roman" w:hAnsi="Times New Roman" w:eastAsia="仿宋_GB2312" w:cs="Times New Roman"/>
          <w:sz w:val="32"/>
          <w:szCs w:val="32"/>
          <w:lang w:val="zh-CN"/>
        </w:rPr>
        <w:t>人），离退休人员</w:t>
      </w:r>
      <w:r>
        <w:rPr>
          <w:rFonts w:hint="eastAsia" w:ascii="Times New Roman" w:hAnsi="Times New Roman" w:eastAsia="仿宋_GB2312" w:cs="Times New Roman"/>
          <w:sz w:val="32"/>
          <w:szCs w:val="32"/>
        </w:rPr>
        <w:t>9</w:t>
      </w:r>
      <w:r>
        <w:rPr>
          <w:rFonts w:ascii="Times New Roman" w:hAnsi="Times New Roman" w:eastAsia="仿宋_GB2312" w:cs="Times New Roman"/>
          <w:sz w:val="32"/>
          <w:szCs w:val="32"/>
          <w:lang w:val="zh-CN"/>
        </w:rPr>
        <w:t>人。</w:t>
      </w:r>
    </w:p>
    <w:p w14:paraId="1E01AD01">
      <w:pPr>
        <w:pStyle w:val="8"/>
        <w:widowControl/>
        <w:numPr>
          <w:ilvl w:val="0"/>
          <w:numId w:val="1"/>
        </w:numPr>
        <w:spacing w:line="480" w:lineRule="exact"/>
        <w:ind w:firstLineChars="0"/>
        <w:rPr>
          <w:rFonts w:ascii="Times New Roman" w:hAnsi="Times New Roman" w:eastAsia="黑体" w:cs="黑体"/>
          <w:sz w:val="32"/>
          <w:szCs w:val="32"/>
        </w:rPr>
      </w:pPr>
      <w:r>
        <w:rPr>
          <w:rFonts w:hint="eastAsia" w:ascii="Times New Roman" w:hAnsi="Times New Roman" w:eastAsia="黑体" w:cs="黑体"/>
          <w:sz w:val="32"/>
          <w:szCs w:val="32"/>
        </w:rPr>
        <w:t>一般公共预算支出情况</w:t>
      </w:r>
    </w:p>
    <w:p w14:paraId="1CA8746D">
      <w:pPr>
        <w:pStyle w:val="8"/>
        <w:widowControl/>
        <w:spacing w:line="560" w:lineRule="exact"/>
        <w:ind w:firstLineChars="0"/>
        <w:rPr>
          <w:rFonts w:ascii="Times New Roman" w:hAnsi="Times New Roman" w:eastAsia="仿宋_GB2312" w:cs="Times New Roman"/>
          <w:sz w:val="32"/>
          <w:szCs w:val="32"/>
        </w:rPr>
      </w:pP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lang w:val="zh-CN"/>
        </w:rPr>
        <w:t>年一般公共预算支出完成</w:t>
      </w:r>
      <w:r>
        <w:rPr>
          <w:rFonts w:hint="eastAsia" w:ascii="Times New Roman" w:hAnsi="Times New Roman" w:eastAsia="仿宋_GB2312" w:cs="Times New Roman"/>
          <w:sz w:val="32"/>
          <w:szCs w:val="32"/>
        </w:rPr>
        <w:t>676.13</w:t>
      </w:r>
      <w:r>
        <w:rPr>
          <w:rFonts w:ascii="Times New Roman" w:hAnsi="Times New Roman" w:eastAsia="仿宋_GB2312" w:cs="Times New Roman"/>
          <w:sz w:val="32"/>
          <w:szCs w:val="32"/>
          <w:lang w:val="zh-CN"/>
        </w:rPr>
        <w:t>万元，其中基本支出（就业管理事务支出</w:t>
      </w:r>
      <w:r>
        <w:rPr>
          <w:rFonts w:hint="eastAsia" w:ascii="Times New Roman" w:hAnsi="Times New Roman" w:eastAsia="仿宋_GB2312" w:cs="Times New Roman"/>
          <w:sz w:val="32"/>
          <w:szCs w:val="32"/>
        </w:rPr>
        <w:t>375.49</w:t>
      </w:r>
      <w:r>
        <w:rPr>
          <w:rFonts w:ascii="Times New Roman" w:hAnsi="Times New Roman" w:eastAsia="仿宋_GB2312" w:cs="Times New Roman"/>
          <w:sz w:val="32"/>
          <w:szCs w:val="32"/>
          <w:lang w:val="zh-CN"/>
        </w:rPr>
        <w:t>万元）、项目支出（其他就业补助支出</w:t>
      </w:r>
      <w:r>
        <w:rPr>
          <w:rFonts w:hint="eastAsia" w:ascii="Times New Roman" w:hAnsi="Times New Roman" w:eastAsia="仿宋_GB2312" w:cs="Times New Roman"/>
          <w:sz w:val="32"/>
          <w:szCs w:val="32"/>
        </w:rPr>
        <w:t>300.64</w:t>
      </w:r>
      <w:r>
        <w:rPr>
          <w:rFonts w:ascii="Times New Roman" w:hAnsi="Times New Roman" w:eastAsia="仿宋_GB2312" w:cs="Times New Roman"/>
          <w:sz w:val="32"/>
          <w:szCs w:val="32"/>
        </w:rPr>
        <w:t>万元</w:t>
      </w:r>
      <w:r>
        <w:rPr>
          <w:rFonts w:ascii="Times New Roman" w:hAnsi="Times New Roman" w:eastAsia="仿宋_GB2312" w:cs="Times New Roman"/>
          <w:sz w:val="32"/>
          <w:szCs w:val="32"/>
          <w:lang w:val="zh-CN"/>
        </w:rPr>
        <w:t>）</w:t>
      </w:r>
      <w:r>
        <w:rPr>
          <w:rFonts w:ascii="Times New Roman" w:hAnsi="Times New Roman" w:eastAsia="仿宋_GB2312" w:cs="Times New Roman"/>
          <w:sz w:val="32"/>
          <w:szCs w:val="32"/>
        </w:rPr>
        <w:t>，</w:t>
      </w:r>
      <w:r>
        <w:rPr>
          <w:rFonts w:ascii="Times New Roman" w:hAnsi="Times New Roman" w:eastAsia="仿宋_GB2312" w:cs="Times New Roman"/>
          <w:sz w:val="32"/>
          <w:szCs w:val="32"/>
          <w:lang w:val="zh-CN"/>
        </w:rPr>
        <w:t>年末转入非财政拨款结余</w:t>
      </w:r>
      <w:r>
        <w:rPr>
          <w:rFonts w:hint="eastAsia" w:ascii="Times New Roman" w:hAnsi="Times New Roman" w:eastAsia="仿宋_GB2312" w:cs="Times New Roman"/>
          <w:sz w:val="32"/>
          <w:szCs w:val="32"/>
        </w:rPr>
        <w:t>863.56</w:t>
      </w:r>
      <w:r>
        <w:rPr>
          <w:rFonts w:ascii="Times New Roman" w:hAnsi="Times New Roman" w:eastAsia="仿宋_GB2312" w:cs="Times New Roman"/>
          <w:sz w:val="32"/>
          <w:szCs w:val="32"/>
          <w:lang w:val="zh-CN"/>
        </w:rPr>
        <w:t>万元。</w:t>
      </w:r>
    </w:p>
    <w:p w14:paraId="510A43A0">
      <w:pPr>
        <w:pStyle w:val="8"/>
        <w:widowControl/>
        <w:numPr>
          <w:ilvl w:val="0"/>
          <w:numId w:val="2"/>
        </w:numPr>
        <w:spacing w:line="480" w:lineRule="exact"/>
        <w:ind w:firstLineChars="0"/>
        <w:rPr>
          <w:rFonts w:ascii="Times New Roman" w:hAnsi="Times New Roman" w:eastAsia="黑体" w:cs="黑体"/>
          <w:sz w:val="32"/>
          <w:szCs w:val="32"/>
        </w:rPr>
      </w:pPr>
      <w:r>
        <w:rPr>
          <w:rFonts w:hint="eastAsia" w:ascii="Times New Roman" w:hAnsi="Times New Roman" w:eastAsia="黑体" w:cs="黑体"/>
          <w:sz w:val="32"/>
          <w:szCs w:val="32"/>
        </w:rPr>
        <w:t>基本支出情况</w:t>
      </w:r>
    </w:p>
    <w:p w14:paraId="24AE77D9">
      <w:pPr>
        <w:widowControl/>
        <w:spacing w:line="480" w:lineRule="exact"/>
        <w:ind w:firstLine="645"/>
        <w:jc w:val="left"/>
        <w:rPr>
          <w:rFonts w:eastAsia="仿宋_GB2312" w:cs="仿宋_GB2312"/>
          <w:color w:val="000000"/>
          <w:sz w:val="32"/>
          <w:szCs w:val="32"/>
        </w:rPr>
      </w:pPr>
      <w:r>
        <w:rPr>
          <w:rFonts w:eastAsia="仿宋_GB2312" w:cs="仿宋_GB2312"/>
          <w:color w:val="000000"/>
          <w:sz w:val="32"/>
          <w:szCs w:val="32"/>
        </w:rPr>
        <w:t>1、202</w:t>
      </w:r>
      <w:r>
        <w:rPr>
          <w:rFonts w:hint="eastAsia" w:eastAsia="仿宋_GB2312" w:cs="仿宋_GB2312"/>
          <w:color w:val="000000"/>
          <w:sz w:val="32"/>
          <w:szCs w:val="32"/>
        </w:rPr>
        <w:t>2</w:t>
      </w:r>
      <w:r>
        <w:rPr>
          <w:rFonts w:eastAsia="仿宋_GB2312" w:cs="仿宋_GB2312"/>
          <w:color w:val="000000"/>
          <w:sz w:val="32"/>
          <w:szCs w:val="32"/>
        </w:rPr>
        <w:t>年基本支出</w:t>
      </w:r>
      <w:r>
        <w:rPr>
          <w:rFonts w:hint="eastAsia" w:eastAsia="仿宋_GB2312" w:cs="仿宋_GB2312"/>
          <w:color w:val="000000"/>
          <w:sz w:val="32"/>
          <w:szCs w:val="32"/>
        </w:rPr>
        <w:t>375.49</w:t>
      </w:r>
      <w:r>
        <w:rPr>
          <w:rFonts w:eastAsia="仿宋_GB2312" w:cs="仿宋_GB2312"/>
          <w:color w:val="000000"/>
          <w:sz w:val="32"/>
          <w:szCs w:val="32"/>
        </w:rPr>
        <w:t>万元，主要是用于在职人员基本工资、津贴补贴、奖金、绩效工资、其他工资福利支出及各项社保的缴纳。</w:t>
      </w:r>
    </w:p>
    <w:p w14:paraId="6535D966">
      <w:pPr>
        <w:widowControl/>
        <w:spacing w:line="480" w:lineRule="exact"/>
        <w:ind w:firstLine="645"/>
        <w:jc w:val="left"/>
        <w:rPr>
          <w:rFonts w:eastAsia="仿宋_GB2312" w:cs="仿宋_GB2312"/>
          <w:color w:val="000000"/>
          <w:sz w:val="32"/>
          <w:szCs w:val="32"/>
        </w:rPr>
      </w:pPr>
      <w:r>
        <w:rPr>
          <w:rFonts w:eastAsia="仿宋_GB2312" w:cs="仿宋_GB2312"/>
          <w:color w:val="000000"/>
          <w:sz w:val="32"/>
          <w:szCs w:val="32"/>
        </w:rPr>
        <w:t>“三公”经费情况</w:t>
      </w:r>
    </w:p>
    <w:p w14:paraId="3E8EDA6C">
      <w:pPr>
        <w:widowControl/>
        <w:spacing w:line="480" w:lineRule="exact"/>
        <w:ind w:firstLine="645"/>
        <w:jc w:val="left"/>
        <w:rPr>
          <w:rFonts w:eastAsia="仿宋_GB2312" w:cs="仿宋_GB2312"/>
          <w:color w:val="000000"/>
          <w:sz w:val="32"/>
          <w:szCs w:val="32"/>
        </w:rPr>
      </w:pPr>
      <w:r>
        <w:rPr>
          <w:rFonts w:eastAsia="仿宋_GB2312" w:cs="仿宋_GB2312"/>
          <w:color w:val="000000"/>
          <w:sz w:val="32"/>
          <w:szCs w:val="32"/>
        </w:rPr>
        <w:t>202</w:t>
      </w:r>
      <w:r>
        <w:rPr>
          <w:rFonts w:hint="eastAsia" w:eastAsia="仿宋_GB2312" w:cs="仿宋_GB2312"/>
          <w:color w:val="000000"/>
          <w:sz w:val="32"/>
          <w:szCs w:val="32"/>
        </w:rPr>
        <w:t>2</w:t>
      </w:r>
      <w:r>
        <w:rPr>
          <w:rFonts w:eastAsia="仿宋_GB2312" w:cs="仿宋_GB2312"/>
          <w:color w:val="000000"/>
          <w:sz w:val="32"/>
          <w:szCs w:val="32"/>
        </w:rPr>
        <w:t>年“三公”经费</w:t>
      </w:r>
      <w:r>
        <w:rPr>
          <w:rFonts w:hint="eastAsia" w:eastAsia="仿宋_GB2312" w:cs="仿宋_GB2312"/>
          <w:color w:val="000000"/>
          <w:sz w:val="32"/>
          <w:szCs w:val="32"/>
        </w:rPr>
        <w:t>0</w:t>
      </w:r>
      <w:r>
        <w:rPr>
          <w:rFonts w:eastAsia="仿宋_GB2312" w:cs="仿宋_GB2312"/>
          <w:color w:val="000000"/>
          <w:sz w:val="32"/>
          <w:szCs w:val="32"/>
        </w:rPr>
        <w:t>万元，因公出（国）境费用0元，公务用车购置及运行维护费0元，车已经调配。国内公务接待费</w:t>
      </w:r>
      <w:r>
        <w:rPr>
          <w:rFonts w:hint="eastAsia" w:eastAsia="仿宋_GB2312" w:cs="仿宋_GB2312"/>
          <w:color w:val="000000"/>
          <w:sz w:val="32"/>
          <w:szCs w:val="32"/>
        </w:rPr>
        <w:t>0</w:t>
      </w:r>
      <w:r>
        <w:rPr>
          <w:rFonts w:eastAsia="仿宋_GB2312" w:cs="仿宋_GB2312"/>
          <w:color w:val="000000"/>
          <w:sz w:val="32"/>
          <w:szCs w:val="32"/>
        </w:rPr>
        <w:t>万元，较上年有所增长，我单位严格按照公务接待规定，把推进厉行节约、反对浪费、规范话、程序话，对每一笔费用支出都严格把控，严格按照财务审批程序执行财务报销制度。</w:t>
      </w:r>
    </w:p>
    <w:p w14:paraId="77D1D39D">
      <w:pPr>
        <w:widowControl/>
        <w:spacing w:line="480" w:lineRule="exact"/>
        <w:ind w:firstLine="645"/>
        <w:jc w:val="left"/>
        <w:rPr>
          <w:rFonts w:eastAsia="仿宋_GB2312" w:cs="仿宋_GB2312"/>
          <w:color w:val="000000"/>
          <w:sz w:val="32"/>
          <w:szCs w:val="32"/>
        </w:rPr>
      </w:pPr>
      <w:r>
        <w:rPr>
          <w:rFonts w:eastAsia="仿宋_GB2312" w:cs="仿宋_GB2312"/>
          <w:color w:val="000000"/>
          <w:sz w:val="32"/>
          <w:szCs w:val="32"/>
        </w:rPr>
        <w:t>3、预决算公开情况</w:t>
      </w:r>
    </w:p>
    <w:p w14:paraId="0464F0FB">
      <w:pPr>
        <w:widowControl/>
        <w:spacing w:line="480" w:lineRule="exact"/>
        <w:ind w:firstLine="645"/>
        <w:jc w:val="left"/>
        <w:rPr>
          <w:rFonts w:eastAsia="仿宋_GB2312" w:cs="仿宋_GB2312"/>
          <w:color w:val="000000"/>
          <w:sz w:val="32"/>
          <w:szCs w:val="32"/>
        </w:rPr>
      </w:pPr>
      <w:r>
        <w:rPr>
          <w:rFonts w:eastAsia="仿宋_GB2312" w:cs="仿宋_GB2312"/>
          <w:color w:val="000000"/>
          <w:sz w:val="32"/>
          <w:szCs w:val="32"/>
        </w:rPr>
        <w:t>部门决算和部门预算编报通过区财政局审核批示，下达文件后，按照预决算公开的要求在政府网上和财政局网站进行了公示，增强了预决算</w:t>
      </w:r>
      <w:bookmarkStart w:id="0" w:name="_GoBack"/>
      <w:bookmarkEnd w:id="0"/>
      <w:r>
        <w:rPr>
          <w:rFonts w:eastAsia="仿宋_GB2312" w:cs="仿宋_GB2312"/>
          <w:color w:val="000000"/>
          <w:sz w:val="32"/>
          <w:szCs w:val="32"/>
        </w:rPr>
        <w:t>执行情况的透明度。</w:t>
      </w:r>
    </w:p>
    <w:p w14:paraId="4CB3C6BA">
      <w:pPr>
        <w:widowControl/>
        <w:spacing w:line="480" w:lineRule="exact"/>
        <w:ind w:firstLine="645"/>
        <w:jc w:val="left"/>
        <w:rPr>
          <w:rFonts w:eastAsia="仿宋_GB2312" w:cs="仿宋_GB2312"/>
          <w:color w:val="000000"/>
          <w:sz w:val="32"/>
          <w:szCs w:val="32"/>
        </w:rPr>
      </w:pPr>
      <w:r>
        <w:rPr>
          <w:rFonts w:eastAsia="仿宋_GB2312" w:cs="仿宋_GB2312"/>
          <w:color w:val="000000"/>
          <w:sz w:val="32"/>
          <w:szCs w:val="32"/>
        </w:rPr>
        <w:t>4、资产管理情况</w:t>
      </w:r>
    </w:p>
    <w:p w14:paraId="057BB076">
      <w:pPr>
        <w:widowControl/>
        <w:spacing w:line="480" w:lineRule="exact"/>
        <w:ind w:firstLine="645"/>
        <w:jc w:val="left"/>
        <w:rPr>
          <w:rFonts w:eastAsia="仿宋_GB2312" w:cs="仿宋_GB2312"/>
          <w:color w:val="000000"/>
          <w:sz w:val="32"/>
          <w:szCs w:val="32"/>
        </w:rPr>
      </w:pPr>
      <w:r>
        <w:rPr>
          <w:rFonts w:eastAsia="仿宋_GB2312" w:cs="仿宋_GB2312"/>
          <w:color w:val="000000"/>
          <w:sz w:val="32"/>
          <w:szCs w:val="32"/>
        </w:rPr>
        <w:t>202</w:t>
      </w:r>
      <w:r>
        <w:rPr>
          <w:rFonts w:hint="eastAsia" w:eastAsia="仿宋_GB2312" w:cs="仿宋_GB2312"/>
          <w:color w:val="000000"/>
          <w:sz w:val="32"/>
          <w:szCs w:val="32"/>
        </w:rPr>
        <w:t>2</w:t>
      </w:r>
      <w:r>
        <w:rPr>
          <w:rFonts w:eastAsia="仿宋_GB2312" w:cs="仿宋_GB2312"/>
          <w:color w:val="000000"/>
          <w:sz w:val="32"/>
          <w:szCs w:val="32"/>
        </w:rPr>
        <w:t>年新增资产</w:t>
      </w:r>
      <w:r>
        <w:rPr>
          <w:rFonts w:hint="eastAsia" w:eastAsia="仿宋_GB2312" w:cs="仿宋_GB2312"/>
          <w:color w:val="000000"/>
          <w:sz w:val="32"/>
          <w:szCs w:val="32"/>
        </w:rPr>
        <w:t>1.34</w:t>
      </w:r>
      <w:r>
        <w:rPr>
          <w:rFonts w:eastAsia="仿宋_GB2312" w:cs="仿宋_GB2312"/>
          <w:color w:val="000000"/>
          <w:sz w:val="32"/>
          <w:szCs w:val="32"/>
        </w:rPr>
        <w:t>万元。本着“厉行节约、物尽其用”的原则，单位严格根据国有资产管理的有关规定，组织并实施本单位的国有资产管理工作。</w:t>
      </w:r>
    </w:p>
    <w:p w14:paraId="4227A51F">
      <w:pPr>
        <w:widowControl/>
        <w:spacing w:line="480" w:lineRule="exact"/>
        <w:ind w:firstLine="645"/>
        <w:jc w:val="left"/>
        <w:rPr>
          <w:rFonts w:eastAsia="仿宋_GB2312" w:cs="仿宋_GB2312"/>
          <w:color w:val="000000"/>
          <w:sz w:val="32"/>
          <w:szCs w:val="32"/>
        </w:rPr>
      </w:pPr>
      <w:r>
        <w:rPr>
          <w:rFonts w:eastAsia="仿宋_GB2312" w:cs="仿宋_GB2312"/>
          <w:color w:val="000000"/>
          <w:sz w:val="32"/>
          <w:szCs w:val="32"/>
        </w:rPr>
        <w:t>固定资产的购置由各相关股室根据实际需要提出申请购置计划，按程序办理采购手续，凡纳入政府采购目录、达到规定标准的采购项目，按照政府采购的规定进行；资产的处置报废报审，按照国家规定的审批程序办理，确保资产的安全高效，防止资产流失。</w:t>
      </w:r>
    </w:p>
    <w:p w14:paraId="2381E684">
      <w:pPr>
        <w:widowControl/>
        <w:spacing w:line="480" w:lineRule="exact"/>
        <w:ind w:firstLine="645"/>
        <w:jc w:val="left"/>
        <w:rPr>
          <w:rFonts w:eastAsia="仿宋_GB2312" w:cs="仿宋_GB2312"/>
          <w:color w:val="000000"/>
          <w:sz w:val="32"/>
          <w:szCs w:val="32"/>
        </w:rPr>
      </w:pPr>
      <w:r>
        <w:rPr>
          <w:rFonts w:eastAsia="仿宋_GB2312" w:cs="仿宋_GB2312"/>
          <w:color w:val="000000"/>
          <w:sz w:val="32"/>
          <w:szCs w:val="32"/>
        </w:rPr>
        <w:t>5、内部管理制度建设情况</w:t>
      </w:r>
    </w:p>
    <w:p w14:paraId="470C813C">
      <w:pPr>
        <w:widowControl/>
        <w:spacing w:line="480" w:lineRule="exact"/>
        <w:ind w:firstLine="645"/>
        <w:jc w:val="left"/>
        <w:rPr>
          <w:rFonts w:eastAsia="仿宋_GB2312" w:cs="仿宋_GB2312"/>
          <w:color w:val="000000"/>
          <w:sz w:val="32"/>
          <w:szCs w:val="32"/>
        </w:rPr>
      </w:pPr>
      <w:r>
        <w:rPr>
          <w:rFonts w:hint="eastAsia" w:eastAsia="仿宋_GB2312" w:cs="仿宋_GB2312"/>
          <w:color w:val="000000"/>
          <w:sz w:val="32"/>
          <w:szCs w:val="32"/>
        </w:rPr>
        <w:t>内部管理制度建设情况：成立了内控工作领导小组，建立了内部控制管理制度。在内控管理方面，严格执行有关法律法规、财经制度，完善业务操作流程，坚持“先预算、后支出”,统筹安排使用各项资金，确保各项工作的顺利开展。</w:t>
      </w:r>
    </w:p>
    <w:p w14:paraId="10CB6320">
      <w:pPr>
        <w:widowControl/>
        <w:spacing w:line="480" w:lineRule="exact"/>
        <w:ind w:firstLine="645"/>
        <w:jc w:val="left"/>
        <w:rPr>
          <w:rFonts w:eastAsia="仿宋_GB2312" w:cs="仿宋_GB2312"/>
          <w:color w:val="000000"/>
          <w:sz w:val="32"/>
          <w:szCs w:val="32"/>
        </w:rPr>
      </w:pPr>
      <w:r>
        <w:rPr>
          <w:rFonts w:eastAsia="仿宋_GB2312" w:cs="仿宋_GB2312"/>
          <w:color w:val="000000"/>
          <w:sz w:val="32"/>
          <w:szCs w:val="32"/>
        </w:rPr>
        <w:t>202</w:t>
      </w:r>
      <w:r>
        <w:rPr>
          <w:rFonts w:hint="eastAsia" w:eastAsia="仿宋_GB2312" w:cs="仿宋_GB2312"/>
          <w:color w:val="000000"/>
          <w:sz w:val="32"/>
          <w:szCs w:val="32"/>
        </w:rPr>
        <w:t>2</w:t>
      </w:r>
      <w:r>
        <w:rPr>
          <w:rFonts w:eastAsia="仿宋_GB2312" w:cs="仿宋_GB2312"/>
          <w:color w:val="000000"/>
          <w:sz w:val="32"/>
          <w:szCs w:val="32"/>
        </w:rPr>
        <w:t>年按照区财政局要求开展了内部控制基础性评价工作，进一步完善了内部控制体系。</w:t>
      </w:r>
    </w:p>
    <w:p w14:paraId="185AF769">
      <w:pPr>
        <w:pStyle w:val="8"/>
        <w:widowControl/>
        <w:spacing w:line="480" w:lineRule="exact"/>
        <w:ind w:firstLine="320" w:firstLineChars="100"/>
        <w:rPr>
          <w:rFonts w:ascii="Times New Roman" w:hAnsi="Times New Roman" w:eastAsia="黑体" w:cs="Times New Roman"/>
          <w:sz w:val="32"/>
          <w:szCs w:val="32"/>
        </w:rPr>
      </w:pPr>
      <w:r>
        <w:rPr>
          <w:rFonts w:hint="eastAsia" w:ascii="Times New Roman" w:hAnsi="Times New Roman" w:eastAsia="黑体" w:cs="黑体"/>
          <w:sz w:val="32"/>
          <w:szCs w:val="32"/>
        </w:rPr>
        <w:t>（二）项目支出情况</w:t>
      </w:r>
    </w:p>
    <w:p w14:paraId="484D4145">
      <w:pPr>
        <w:widowControl/>
        <w:spacing w:line="480" w:lineRule="exact"/>
        <w:ind w:firstLine="645"/>
        <w:jc w:val="left"/>
        <w:rPr>
          <w:rFonts w:eastAsia="仿宋_GB2312" w:cs="仿宋_GB2312"/>
          <w:color w:val="000000"/>
          <w:sz w:val="32"/>
          <w:szCs w:val="32"/>
        </w:rPr>
      </w:pPr>
      <w:r>
        <w:rPr>
          <w:rFonts w:eastAsia="仿宋_GB2312" w:cs="仿宋_GB2312"/>
          <w:color w:val="000000"/>
          <w:sz w:val="32"/>
          <w:szCs w:val="32"/>
        </w:rPr>
        <w:t>202</w:t>
      </w:r>
      <w:r>
        <w:rPr>
          <w:rFonts w:hint="eastAsia" w:eastAsia="仿宋_GB2312" w:cs="仿宋_GB2312"/>
          <w:color w:val="000000"/>
          <w:sz w:val="32"/>
          <w:szCs w:val="32"/>
        </w:rPr>
        <w:t>2</w:t>
      </w:r>
      <w:r>
        <w:rPr>
          <w:rFonts w:eastAsia="仿宋_GB2312" w:cs="仿宋_GB2312"/>
          <w:color w:val="000000"/>
          <w:sz w:val="32"/>
          <w:szCs w:val="32"/>
        </w:rPr>
        <w:t>年项目支出</w:t>
      </w:r>
      <w:r>
        <w:rPr>
          <w:rFonts w:hint="eastAsia" w:eastAsia="仿宋_GB2312" w:cs="仿宋_GB2312"/>
          <w:color w:val="000000"/>
          <w:sz w:val="32"/>
          <w:szCs w:val="32"/>
        </w:rPr>
        <w:t>300.64</w:t>
      </w:r>
      <w:r>
        <w:rPr>
          <w:rFonts w:eastAsia="仿宋_GB2312" w:cs="仿宋_GB2312"/>
          <w:color w:val="000000"/>
          <w:sz w:val="32"/>
          <w:szCs w:val="32"/>
        </w:rPr>
        <w:t>万元，主要用于其</w:t>
      </w:r>
      <w:r>
        <w:rPr>
          <w:rFonts w:hint="eastAsia" w:eastAsia="仿宋_GB2312" w:cs="仿宋_GB2312"/>
          <w:color w:val="000000"/>
          <w:sz w:val="32"/>
          <w:szCs w:val="32"/>
        </w:rPr>
        <w:t>他支出</w:t>
      </w:r>
      <w:r>
        <w:rPr>
          <w:rFonts w:eastAsia="仿宋_GB2312" w:cs="仿宋_GB2312"/>
          <w:color w:val="000000"/>
          <w:sz w:val="32"/>
          <w:szCs w:val="32"/>
        </w:rPr>
        <w:t>就业补助</w:t>
      </w:r>
      <w:r>
        <w:rPr>
          <w:rFonts w:hint="eastAsia" w:eastAsia="仿宋_GB2312" w:cs="仿宋_GB2312"/>
          <w:color w:val="000000"/>
          <w:sz w:val="32"/>
          <w:szCs w:val="32"/>
        </w:rPr>
        <w:t>资金</w:t>
      </w:r>
      <w:r>
        <w:rPr>
          <w:rFonts w:eastAsia="仿宋_GB2312" w:cs="仿宋_GB2312"/>
          <w:color w:val="000000"/>
          <w:sz w:val="32"/>
          <w:szCs w:val="32"/>
        </w:rPr>
        <w:t>支出，以及专项业务工作经费支出。</w:t>
      </w:r>
    </w:p>
    <w:p w14:paraId="42A9FB60">
      <w:pPr>
        <w:widowControl/>
        <w:spacing w:line="480" w:lineRule="exact"/>
        <w:ind w:firstLine="645"/>
        <w:jc w:val="left"/>
        <w:rPr>
          <w:rFonts w:eastAsia="仿宋_GB2312" w:cs="仿宋_GB2312"/>
          <w:color w:val="000000"/>
          <w:sz w:val="32"/>
          <w:szCs w:val="32"/>
        </w:rPr>
      </w:pPr>
      <w:r>
        <w:rPr>
          <w:rFonts w:eastAsia="仿宋_GB2312" w:cs="仿宋_GB2312"/>
          <w:color w:val="000000"/>
          <w:sz w:val="32"/>
          <w:szCs w:val="32"/>
        </w:rPr>
        <w:t>其他</w:t>
      </w:r>
      <w:r>
        <w:rPr>
          <w:rFonts w:hint="eastAsia" w:eastAsia="仿宋_GB2312" w:cs="仿宋_GB2312"/>
          <w:color w:val="000000"/>
          <w:sz w:val="32"/>
          <w:szCs w:val="32"/>
        </w:rPr>
        <w:t>支出</w:t>
      </w:r>
      <w:r>
        <w:rPr>
          <w:rFonts w:eastAsia="仿宋_GB2312" w:cs="仿宋_GB2312"/>
          <w:color w:val="000000"/>
          <w:sz w:val="32"/>
          <w:szCs w:val="32"/>
        </w:rPr>
        <w:t>就业补助</w:t>
      </w:r>
      <w:r>
        <w:rPr>
          <w:rFonts w:hint="eastAsia" w:eastAsia="仿宋_GB2312" w:cs="仿宋_GB2312"/>
          <w:color w:val="000000"/>
          <w:sz w:val="32"/>
          <w:szCs w:val="32"/>
        </w:rPr>
        <w:t>资金</w:t>
      </w:r>
      <w:r>
        <w:rPr>
          <w:rFonts w:eastAsia="仿宋_GB2312" w:cs="仿宋_GB2312"/>
          <w:color w:val="000000"/>
          <w:sz w:val="32"/>
          <w:szCs w:val="32"/>
        </w:rPr>
        <w:t>支出</w:t>
      </w:r>
      <w:r>
        <w:rPr>
          <w:rFonts w:hint="eastAsia" w:eastAsia="仿宋_GB2312" w:cs="仿宋_GB2312"/>
          <w:color w:val="000000"/>
          <w:sz w:val="32"/>
          <w:szCs w:val="32"/>
        </w:rPr>
        <w:t>300.64</w:t>
      </w:r>
      <w:r>
        <w:rPr>
          <w:rFonts w:eastAsia="仿宋_GB2312" w:cs="仿宋_GB2312"/>
          <w:color w:val="000000"/>
          <w:sz w:val="32"/>
          <w:szCs w:val="32"/>
        </w:rPr>
        <w:t>万元，主要用于就业创业服务补助、就业困难人员管理服务费、就业信息与统计监测补贴、就业见习补贴、创新创业大赛服务活动费以及大型专项服务活动费。</w:t>
      </w:r>
    </w:p>
    <w:p w14:paraId="0F848483">
      <w:pPr>
        <w:widowControl/>
        <w:spacing w:line="480" w:lineRule="exact"/>
        <w:ind w:firstLine="645"/>
        <w:jc w:val="left"/>
        <w:rPr>
          <w:rFonts w:eastAsia="仿宋_GB2312" w:cs="仿宋_GB2312"/>
          <w:color w:val="000000"/>
          <w:sz w:val="32"/>
          <w:szCs w:val="32"/>
        </w:rPr>
      </w:pPr>
      <w:r>
        <w:rPr>
          <w:rFonts w:hint="eastAsia" w:eastAsia="仿宋_GB2312" w:cs="仿宋_GB2312"/>
          <w:color w:val="000000"/>
          <w:sz w:val="32"/>
          <w:szCs w:val="32"/>
        </w:rPr>
        <w:t>2022年</w:t>
      </w:r>
      <w:r>
        <w:rPr>
          <w:rFonts w:eastAsia="仿宋_GB2312" w:cs="仿宋_GB2312"/>
          <w:color w:val="000000"/>
          <w:sz w:val="32"/>
          <w:szCs w:val="32"/>
        </w:rPr>
        <w:t>就业再就业工作方面</w:t>
      </w:r>
      <w:r>
        <w:rPr>
          <w:rFonts w:hint="eastAsia" w:eastAsia="仿宋_GB2312" w:cs="仿宋_GB2312"/>
          <w:color w:val="000000"/>
          <w:sz w:val="32"/>
          <w:szCs w:val="32"/>
        </w:rPr>
        <w:t>取得了圆满的成绩</w:t>
      </w:r>
      <w:r>
        <w:rPr>
          <w:rFonts w:eastAsia="仿宋_GB2312" w:cs="仿宋_GB2312"/>
          <w:color w:val="000000"/>
          <w:sz w:val="32"/>
          <w:szCs w:val="32"/>
        </w:rPr>
        <w:t>。</w:t>
      </w:r>
      <w:r>
        <w:rPr>
          <w:rFonts w:hint="eastAsia" w:eastAsia="仿宋_GB2312" w:cs="仿宋_GB2312"/>
          <w:color w:val="000000"/>
          <w:sz w:val="32"/>
          <w:szCs w:val="32"/>
        </w:rPr>
        <w:t>全区城镇新增就业6400人；帮助下岗失业人员实现再就业3400人；帮助“4050”等就业困难人员实现就业900人。全区新增农村劳动力转移就业4011人。脱贫劳动力就业总人数15787人，其中脱贫劳动力365人。就业城镇登记失业率控制为1.11%,今年每月均控制在3.8%以内。完成创业担保贴息贷款3580万元。</w:t>
      </w:r>
      <w:r>
        <w:rPr>
          <w:rFonts w:eastAsia="仿宋_GB2312" w:cs="仿宋_GB2312"/>
          <w:color w:val="000000"/>
          <w:sz w:val="32"/>
          <w:szCs w:val="32"/>
        </w:rPr>
        <w:t>失业保险工作方面。</w:t>
      </w:r>
      <w:r>
        <w:rPr>
          <w:rFonts w:hint="eastAsia" w:eastAsia="仿宋_GB2312" w:cs="仿宋_GB2312"/>
          <w:color w:val="000000"/>
          <w:sz w:val="32"/>
          <w:szCs w:val="32"/>
        </w:rPr>
        <w:t>2022年征缴基金539.72万元。失业保险参保总人数2.68万人，100%完成年度目标任务。全年发放失业保险金94.94万元，发放失业保险稳岗补贴168.48万元。发放失业保险补助金18.15万元，发放技能提升补贴0.55万元。</w:t>
      </w:r>
      <w:r>
        <w:rPr>
          <w:rFonts w:eastAsia="仿宋_GB2312" w:cs="仿宋_GB2312"/>
          <w:color w:val="000000"/>
          <w:sz w:val="32"/>
          <w:szCs w:val="32"/>
        </w:rPr>
        <w:t>职业培训工作方面。完成</w:t>
      </w:r>
      <w:r>
        <w:rPr>
          <w:rFonts w:hint="eastAsia" w:eastAsia="仿宋_GB2312" w:cs="仿宋_GB2312"/>
          <w:color w:val="000000"/>
          <w:sz w:val="32"/>
          <w:szCs w:val="32"/>
        </w:rPr>
        <w:t>各类</w:t>
      </w:r>
      <w:r>
        <w:rPr>
          <w:rFonts w:eastAsia="仿宋_GB2312" w:cs="仿宋_GB2312"/>
          <w:color w:val="000000"/>
          <w:sz w:val="32"/>
          <w:szCs w:val="32"/>
        </w:rPr>
        <w:t>补贴性职业技能培训</w:t>
      </w:r>
      <w:r>
        <w:rPr>
          <w:rFonts w:hint="eastAsia" w:eastAsia="仿宋_GB2312" w:cs="仿宋_GB2312"/>
          <w:color w:val="000000"/>
          <w:sz w:val="32"/>
          <w:szCs w:val="32"/>
        </w:rPr>
        <w:t>3272人。其中完成技能培训54期，培训人数2540人；（“三高四新”战略重点职业29期1353人；吸纳和稳定就业重点类职业16期737人；农村技能人才培训9期450人）。完成创业培训23期，培训学员732人。（SYB13期390人、网络创业直播版4期135人、创业模拟实训4期137人）。</w:t>
      </w:r>
    </w:p>
    <w:p w14:paraId="1BF0DB96">
      <w:pPr>
        <w:pStyle w:val="10"/>
        <w:widowControl/>
        <w:numPr>
          <w:ilvl w:val="0"/>
          <w:numId w:val="1"/>
        </w:numPr>
        <w:spacing w:line="480" w:lineRule="exact"/>
        <w:ind w:firstLineChars="0"/>
        <w:jc w:val="left"/>
        <w:rPr>
          <w:rFonts w:eastAsia="黑体" w:cs="黑体"/>
          <w:sz w:val="32"/>
          <w:szCs w:val="32"/>
        </w:rPr>
      </w:pPr>
      <w:r>
        <w:rPr>
          <w:rFonts w:hint="eastAsia" w:eastAsia="黑体" w:cs="黑体"/>
          <w:sz w:val="32"/>
          <w:szCs w:val="32"/>
        </w:rPr>
        <w:t>政府性基金预算支出情况</w:t>
      </w:r>
    </w:p>
    <w:p w14:paraId="724002F6">
      <w:pPr>
        <w:pStyle w:val="8"/>
        <w:widowControl/>
        <w:spacing w:line="560" w:lineRule="exact"/>
        <w:ind w:firstLineChars="0"/>
        <w:rPr>
          <w:rFonts w:ascii="Times New Roman" w:hAnsi="Times New Roman" w:eastAsia="仿宋_GB2312" w:cs="Times New Roman"/>
          <w:sz w:val="32"/>
          <w:szCs w:val="32"/>
        </w:rPr>
      </w:pP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年赫山区劳动就业服务中心无政府基金预算支出情况。</w:t>
      </w:r>
    </w:p>
    <w:p w14:paraId="08120A0B">
      <w:pPr>
        <w:widowControl/>
        <w:spacing w:line="480" w:lineRule="exact"/>
        <w:jc w:val="left"/>
        <w:rPr>
          <w:rFonts w:eastAsia="黑体"/>
          <w:sz w:val="32"/>
          <w:szCs w:val="32"/>
        </w:rPr>
      </w:pPr>
    </w:p>
    <w:p w14:paraId="6247B0DC">
      <w:pPr>
        <w:pStyle w:val="8"/>
        <w:widowControl/>
        <w:numPr>
          <w:ilvl w:val="0"/>
          <w:numId w:val="1"/>
        </w:numPr>
        <w:spacing w:line="480" w:lineRule="exact"/>
        <w:ind w:firstLineChars="0"/>
        <w:jc w:val="left"/>
        <w:rPr>
          <w:rFonts w:ascii="Times New Roman" w:hAnsi="Times New Roman" w:eastAsia="黑体" w:cs="黑体"/>
          <w:sz w:val="32"/>
          <w:szCs w:val="32"/>
        </w:rPr>
      </w:pPr>
      <w:r>
        <w:rPr>
          <w:rFonts w:hint="eastAsia" w:ascii="Times New Roman" w:hAnsi="Times New Roman" w:eastAsia="黑体" w:cs="黑体"/>
          <w:sz w:val="32"/>
          <w:szCs w:val="32"/>
        </w:rPr>
        <w:t>国有资本经营预算支出情况</w:t>
      </w:r>
    </w:p>
    <w:p w14:paraId="288E467D">
      <w:pPr>
        <w:widowControl/>
        <w:spacing w:line="480" w:lineRule="exact"/>
        <w:ind w:firstLine="645"/>
        <w:jc w:val="left"/>
        <w:rPr>
          <w:rFonts w:eastAsia="仿宋_GB2312" w:cs="仿宋_GB2312"/>
          <w:color w:val="000000"/>
          <w:sz w:val="32"/>
          <w:szCs w:val="32"/>
        </w:rPr>
      </w:pPr>
      <w:r>
        <w:rPr>
          <w:rFonts w:eastAsia="仿宋_GB2312" w:cs="仿宋_GB2312"/>
          <w:color w:val="000000"/>
          <w:sz w:val="32"/>
          <w:szCs w:val="32"/>
        </w:rPr>
        <w:t>202</w:t>
      </w:r>
      <w:r>
        <w:rPr>
          <w:rFonts w:hint="eastAsia" w:eastAsia="仿宋_GB2312" w:cs="仿宋_GB2312"/>
          <w:color w:val="000000"/>
          <w:sz w:val="32"/>
          <w:szCs w:val="32"/>
        </w:rPr>
        <w:t>2</w:t>
      </w:r>
      <w:r>
        <w:rPr>
          <w:rFonts w:eastAsia="仿宋_GB2312" w:cs="仿宋_GB2312"/>
          <w:color w:val="000000"/>
          <w:sz w:val="32"/>
          <w:szCs w:val="32"/>
        </w:rPr>
        <w:t>年赫山区劳动就业服务中心无国有资本经营预算支出情况。</w:t>
      </w:r>
    </w:p>
    <w:p w14:paraId="72750429">
      <w:pPr>
        <w:pStyle w:val="8"/>
        <w:widowControl/>
        <w:numPr>
          <w:ilvl w:val="0"/>
          <w:numId w:val="1"/>
        </w:numPr>
        <w:spacing w:line="480" w:lineRule="exact"/>
        <w:ind w:firstLineChars="0"/>
        <w:jc w:val="left"/>
        <w:rPr>
          <w:rFonts w:ascii="Times New Roman" w:hAnsi="Times New Roman" w:eastAsia="黑体" w:cs="黑体"/>
          <w:sz w:val="32"/>
          <w:szCs w:val="32"/>
        </w:rPr>
      </w:pPr>
      <w:r>
        <w:rPr>
          <w:rFonts w:hint="eastAsia" w:ascii="Times New Roman" w:hAnsi="Times New Roman" w:eastAsia="黑体" w:cs="黑体"/>
          <w:sz w:val="32"/>
          <w:szCs w:val="32"/>
        </w:rPr>
        <w:t>社会保险基金预算支出情况</w:t>
      </w:r>
    </w:p>
    <w:p w14:paraId="6B70A49C">
      <w:pPr>
        <w:widowControl/>
        <w:spacing w:line="480" w:lineRule="exact"/>
        <w:ind w:firstLine="645"/>
        <w:jc w:val="left"/>
        <w:rPr>
          <w:rFonts w:eastAsia="仿宋_GB2312" w:cs="仿宋_GB2312"/>
          <w:color w:val="000000"/>
          <w:sz w:val="32"/>
          <w:szCs w:val="32"/>
        </w:rPr>
      </w:pPr>
      <w:r>
        <w:rPr>
          <w:rFonts w:hint="eastAsia" w:eastAsia="仿宋_GB2312" w:cs="仿宋_GB2312"/>
          <w:color w:val="000000"/>
          <w:sz w:val="32"/>
          <w:szCs w:val="32"/>
        </w:rPr>
        <w:t>2022年赫山区劳动就业服务中心无社会保险基金预算支出情况。</w:t>
      </w:r>
    </w:p>
    <w:p w14:paraId="6C019639">
      <w:pPr>
        <w:widowControl/>
        <w:spacing w:line="480" w:lineRule="exact"/>
        <w:ind w:firstLine="640" w:firstLineChars="200"/>
        <w:jc w:val="left"/>
        <w:rPr>
          <w:rFonts w:eastAsia="黑体"/>
          <w:sz w:val="32"/>
          <w:szCs w:val="32"/>
        </w:rPr>
      </w:pPr>
      <w:r>
        <w:rPr>
          <w:rFonts w:hint="eastAsia" w:eastAsia="黑体" w:cs="黑体"/>
          <w:sz w:val="32"/>
          <w:szCs w:val="32"/>
        </w:rPr>
        <w:t>六、部门整体支出绩效情况</w:t>
      </w:r>
    </w:p>
    <w:p w14:paraId="6858B91B">
      <w:pPr>
        <w:widowControl/>
        <w:spacing w:line="480" w:lineRule="exact"/>
        <w:ind w:firstLine="645"/>
        <w:jc w:val="left"/>
        <w:rPr>
          <w:rFonts w:eastAsia="仿宋_GB2312" w:cs="仿宋_GB2312"/>
          <w:color w:val="000000"/>
          <w:sz w:val="32"/>
          <w:szCs w:val="32"/>
        </w:rPr>
      </w:pPr>
      <w:r>
        <w:rPr>
          <w:rFonts w:eastAsia="仿宋_GB2312" w:cs="仿宋_GB2312"/>
          <w:color w:val="000000"/>
          <w:sz w:val="32"/>
          <w:szCs w:val="32"/>
        </w:rPr>
        <w:t>根据上级文件要求，我</w:t>
      </w:r>
      <w:r>
        <w:rPr>
          <w:rFonts w:hint="eastAsia" w:eastAsia="仿宋_GB2312" w:cs="仿宋_GB2312"/>
          <w:color w:val="000000"/>
          <w:sz w:val="32"/>
          <w:szCs w:val="32"/>
        </w:rPr>
        <w:t>中心</w:t>
      </w:r>
      <w:r>
        <w:rPr>
          <w:rFonts w:eastAsia="仿宋_GB2312" w:cs="仿宋_GB2312"/>
          <w:color w:val="000000"/>
          <w:sz w:val="32"/>
          <w:szCs w:val="32"/>
        </w:rPr>
        <w:t>严格按照年初预算进行部门整体支出。在支出过程中，严格遵守各项规章制度，所有就业工作都详细制定了方案，严格按方案组织实施，并加强了监督。尤其是在就业专项支出上，我们专款专用，按工作实施计划情况进行资金拨付。落实市、区下达的全年工作目标任务和重点民生工作。实行了先有预算、后有执行、“用钱必问效、无效必问责”的新常态。</w:t>
      </w:r>
    </w:p>
    <w:p w14:paraId="211CD06C">
      <w:pPr>
        <w:widowControl/>
        <w:spacing w:line="480" w:lineRule="exact"/>
        <w:ind w:firstLine="645"/>
        <w:jc w:val="left"/>
        <w:rPr>
          <w:rFonts w:eastAsia="仿宋_GB2312" w:cs="仿宋_GB2312"/>
          <w:color w:val="000000"/>
          <w:sz w:val="32"/>
          <w:szCs w:val="32"/>
        </w:rPr>
      </w:pPr>
      <w:r>
        <w:rPr>
          <w:rFonts w:eastAsia="仿宋_GB2312" w:cs="仿宋_GB2312"/>
          <w:color w:val="000000"/>
          <w:sz w:val="32"/>
          <w:szCs w:val="32"/>
        </w:rPr>
        <w:t>（一）绩效评价目的</w:t>
      </w:r>
    </w:p>
    <w:p w14:paraId="59E9A527">
      <w:pPr>
        <w:widowControl/>
        <w:spacing w:line="480" w:lineRule="exact"/>
        <w:ind w:firstLine="645"/>
        <w:jc w:val="left"/>
        <w:rPr>
          <w:rFonts w:eastAsia="仿宋_GB2312" w:cs="仿宋_GB2312"/>
          <w:color w:val="000000"/>
          <w:sz w:val="32"/>
          <w:szCs w:val="32"/>
        </w:rPr>
      </w:pPr>
      <w:r>
        <w:rPr>
          <w:rFonts w:eastAsia="仿宋_GB2312" w:cs="仿宋_GB2312"/>
          <w:color w:val="000000"/>
          <w:sz w:val="32"/>
          <w:szCs w:val="32"/>
        </w:rPr>
        <w:t>为了进一步规范财政资金的管理，强化财政支出绩效理念，提升部门责任意识，为切实提高资金使用效益，强化预算支出的责任效率，从而促进我区的劳动就业服务工作。</w:t>
      </w:r>
    </w:p>
    <w:p w14:paraId="2E519D0A">
      <w:pPr>
        <w:widowControl/>
        <w:spacing w:line="480" w:lineRule="exact"/>
        <w:ind w:firstLine="645"/>
        <w:jc w:val="left"/>
        <w:rPr>
          <w:rFonts w:eastAsia="仿宋_GB2312" w:cs="仿宋_GB2312"/>
          <w:color w:val="000000"/>
          <w:sz w:val="32"/>
          <w:szCs w:val="32"/>
        </w:rPr>
      </w:pPr>
      <w:r>
        <w:rPr>
          <w:rFonts w:eastAsia="仿宋_GB2312" w:cs="仿宋_GB2312"/>
          <w:color w:val="000000"/>
          <w:sz w:val="32"/>
          <w:szCs w:val="32"/>
        </w:rPr>
        <w:t>（二）绩效评价的主要过程</w:t>
      </w:r>
    </w:p>
    <w:p w14:paraId="60EA5688">
      <w:pPr>
        <w:widowControl/>
        <w:spacing w:line="480" w:lineRule="exact"/>
        <w:ind w:firstLine="645"/>
        <w:jc w:val="left"/>
        <w:rPr>
          <w:rFonts w:eastAsia="仿宋_GB2312" w:cs="仿宋_GB2312"/>
          <w:color w:val="000000"/>
          <w:sz w:val="32"/>
          <w:szCs w:val="32"/>
        </w:rPr>
      </w:pPr>
      <w:r>
        <w:rPr>
          <w:rFonts w:eastAsia="仿宋_GB2312" w:cs="仿宋_GB2312"/>
          <w:color w:val="000000"/>
          <w:sz w:val="32"/>
          <w:szCs w:val="32"/>
        </w:rPr>
        <w:t>根据绩效评价的要求，我们成立了自评工作领导小组，组织实施和分析评价，采取座谈等方式听取情况，对照自评方案进行布署，检查基本支出、项目支出有关账目，收集整理支出相关资料，按照自评方案的要求，对照各实施项目的内容逐条逐项自评且进行分析。在自评过程中发现问题，查找原因，及时纠正偏差，为下一步工作夯实基础。</w:t>
      </w:r>
    </w:p>
    <w:p w14:paraId="79B34BE5">
      <w:pPr>
        <w:widowControl/>
        <w:spacing w:line="480" w:lineRule="exact"/>
        <w:ind w:firstLine="645"/>
        <w:jc w:val="left"/>
        <w:rPr>
          <w:rFonts w:eastAsia="仿宋_GB2312" w:cs="仿宋_GB2312"/>
          <w:color w:val="000000"/>
          <w:sz w:val="32"/>
          <w:szCs w:val="32"/>
        </w:rPr>
      </w:pPr>
      <w:r>
        <w:rPr>
          <w:rFonts w:eastAsia="仿宋_GB2312" w:cs="仿宋_GB2312"/>
          <w:color w:val="000000"/>
          <w:sz w:val="32"/>
          <w:szCs w:val="32"/>
        </w:rPr>
        <w:t>绩效自评小组将自评情况、结合年初预算批复的部门整体支出绩效指标进行评分，将确定部门整体支出和项目绩效的数据及相关佐证资料进行分类归档，有效索引，开展相关绩效自评工作，得出绩效自评结论，形成部门整体支出绩效自评报告。力争考核有数据、评价有依据、指标脉络明确、事实证据充分。</w:t>
      </w:r>
    </w:p>
    <w:p w14:paraId="68E841C3">
      <w:pPr>
        <w:widowControl/>
        <w:spacing w:line="480" w:lineRule="exact"/>
        <w:ind w:firstLine="645"/>
        <w:jc w:val="left"/>
        <w:rPr>
          <w:rFonts w:eastAsia="仿宋_GB2312" w:cs="仿宋_GB2312"/>
          <w:color w:val="000000"/>
          <w:sz w:val="32"/>
          <w:szCs w:val="32"/>
        </w:rPr>
      </w:pPr>
      <w:r>
        <w:rPr>
          <w:rFonts w:hint="eastAsia" w:eastAsia="仿宋_GB2312" w:cs="仿宋_GB2312"/>
          <w:color w:val="000000"/>
          <w:sz w:val="32"/>
          <w:szCs w:val="32"/>
        </w:rPr>
        <w:t>总结归纳本部门</w:t>
      </w:r>
      <w:r>
        <w:rPr>
          <w:rFonts w:eastAsia="仿宋_GB2312" w:cs="仿宋_GB2312"/>
          <w:color w:val="000000"/>
          <w:sz w:val="32"/>
          <w:szCs w:val="32"/>
        </w:rPr>
        <w:t>“</w:t>
      </w:r>
      <w:r>
        <w:rPr>
          <w:rFonts w:hint="eastAsia" w:eastAsia="仿宋_GB2312" w:cs="仿宋_GB2312"/>
          <w:color w:val="000000"/>
          <w:sz w:val="32"/>
          <w:szCs w:val="32"/>
        </w:rPr>
        <w:t>四本预算</w:t>
      </w:r>
      <w:r>
        <w:rPr>
          <w:rFonts w:eastAsia="仿宋_GB2312" w:cs="仿宋_GB2312"/>
          <w:color w:val="000000"/>
          <w:sz w:val="32"/>
          <w:szCs w:val="32"/>
        </w:rPr>
        <w:t>”</w:t>
      </w:r>
      <w:r>
        <w:rPr>
          <w:rFonts w:hint="eastAsia" w:eastAsia="仿宋_GB2312" w:cs="仿宋_GB2312"/>
          <w:color w:val="000000"/>
          <w:sz w:val="32"/>
          <w:szCs w:val="32"/>
        </w:rPr>
        <w:t>支出的绩效目标完成情况，实现产出和取得效益的情况。围绕部门职责、行业发展规划，以预算资金管理为主线，总结部门资产管理和开展业务情况，从运行成本、管理效率、履职效能、社会效应、可持续发展能力和服务对象满意度等方面，衡量部门整体及核心业务实施效果。</w:t>
      </w:r>
    </w:p>
    <w:p w14:paraId="3E2C7B8B">
      <w:pPr>
        <w:widowControl/>
        <w:spacing w:line="480" w:lineRule="exact"/>
        <w:ind w:firstLine="320" w:firstLineChars="100"/>
        <w:jc w:val="left"/>
        <w:rPr>
          <w:rFonts w:eastAsia="仿宋_GB2312" w:cs="仿宋_GB2312"/>
          <w:color w:val="000000"/>
          <w:sz w:val="32"/>
          <w:szCs w:val="32"/>
        </w:rPr>
      </w:pPr>
      <w:r>
        <w:rPr>
          <w:rFonts w:hint="eastAsia" w:eastAsia="仿宋_GB2312" w:cs="仿宋_GB2312"/>
          <w:color w:val="000000"/>
          <w:sz w:val="32"/>
          <w:szCs w:val="32"/>
        </w:rPr>
        <w:t>（三）</w:t>
      </w:r>
      <w:r>
        <w:rPr>
          <w:rFonts w:eastAsia="仿宋_GB2312" w:cs="仿宋_GB2312"/>
          <w:color w:val="000000"/>
          <w:sz w:val="32"/>
          <w:szCs w:val="32"/>
        </w:rPr>
        <w:t>部门职责履行情况</w:t>
      </w:r>
    </w:p>
    <w:p w14:paraId="669FBC9D">
      <w:pPr>
        <w:widowControl/>
        <w:spacing w:line="480" w:lineRule="exact"/>
        <w:ind w:firstLine="640" w:firstLineChars="200"/>
        <w:jc w:val="left"/>
        <w:rPr>
          <w:rFonts w:eastAsia="仿宋_GB2312" w:cs="仿宋_GB2312"/>
          <w:sz w:val="32"/>
          <w:szCs w:val="32"/>
        </w:rPr>
      </w:pPr>
      <w:r>
        <w:rPr>
          <w:rFonts w:hint="eastAsia" w:eastAsia="仿宋_GB2312" w:cs="仿宋_GB2312"/>
          <w:sz w:val="32"/>
          <w:szCs w:val="32"/>
        </w:rPr>
        <w:t>1、服务重点企业用工。今年我区在“春风行动”专场招聘会、重点企业用工服务活动、民企招聘月活动等大型招聘活动中，将全区农村劳动力特别是脱贫人口纳入其中重点服务对象，及时帮助其获得信息找到合适岗位，促进其就近就业。通过这些有利措施帮助实现就业1537人。通过举办2022年“春风行动”口味王春节专场招聘会。为期4天的口味王春节专场招聘会，18个乡镇、街道按照年前的活动方案分批组织应聘3500名人员进入口味王现场应聘。在招聘会结束后局班子成员带头18名工作人员每人联系1个乡镇下沉到村（社区）做招聘工作，对于参加本次招聘会达成就业意向的求职人员1个月内持续跟踪服务，形成了赫山人社高效服务企业用工的赫山模式。通过举办“春风行动”直播招聘会。招聘会特邀艾华集团、口味王、汉森制药、福湘教育、津湘药业和华翔翔能6家重点用工单位，参与到直播间进行企业招聘宣讲。同时汇聚了赫山区众多实力企业，湖南凯特密欧、安兴电子、旭荣制衣等47家企业，提供了近千个招聘岗位。据统计，直播累计在线人数达32万，收到线上投放简历400余份，互动留言达5000多条。通过指导全区50个村（社区）建立人力资源劳务服务部，完成188名村干部人力资源管理业务培训、发证工作以及劳动关系备案。随着村（社区）人力资源劳务服务部的建立，将进一步摸清全区劳动力资源情况，搭建好企业劳动用工供需桥梁，将服务好企业用工的同时壮大村级集体经济。通过积极开展“益美裁缝”“一县一品”劳务品牌的申报工作。我们组织了入企业展开调研工作，召开了专题会议，并明确了申报主体，成立了专门的申报小组，并组织去安化学习申报经验、已经完成了网上初步申报工作，正在按文件要求健全公众号、视频号、网站，加大品牌的宣传，提升品牌影响力，已经完成了缝纫工400人的培训任务，展馆布置已进入扫尾、品牌形象代言人的聘请正在对接，市级品牌申报资料已上报市局。通过加大企业手机短信招工宣传，针对全区27万18-50周岁的劳动力，不定时发送短信为企业招工，同时通过区、乡镇、社区（村）三级微信工作群为有就业意愿人员及时推荐工作岗位，达到了企业精准招工和群众及时就业的成效。</w:t>
      </w:r>
    </w:p>
    <w:p w14:paraId="1FFAB1B3">
      <w:pPr>
        <w:widowControl/>
        <w:spacing w:line="480" w:lineRule="exact"/>
        <w:ind w:firstLine="640" w:firstLineChars="200"/>
        <w:jc w:val="left"/>
        <w:rPr>
          <w:rFonts w:eastAsia="仿宋_GB2312" w:cs="仿宋_GB2312"/>
          <w:sz w:val="32"/>
          <w:szCs w:val="32"/>
        </w:rPr>
      </w:pPr>
      <w:r>
        <w:rPr>
          <w:rFonts w:hint="eastAsia" w:eastAsia="仿宋_GB2312" w:cs="仿宋_GB2312"/>
          <w:sz w:val="32"/>
          <w:szCs w:val="32"/>
        </w:rPr>
        <w:t>2、狠抓真抓实干工作。我们将2022年促进就业真抓实干工作的考核项目责任分解表下分到每个人，共计分解29项指标具体责任到人，通过通报完成情况以及全市排名情况。促进就业真抓实干督查激励工作，及时召开促进会和调度会，从而便于发现问题解决问题并及时进行整改。2022年城镇新增就业6400人，并全部录入系统。城镇登记失业率1.11 %全年每月均控制在3.8%目标以内。</w:t>
      </w:r>
    </w:p>
    <w:p w14:paraId="699EC403">
      <w:pPr>
        <w:widowControl/>
        <w:spacing w:line="480" w:lineRule="exact"/>
        <w:ind w:firstLine="640" w:firstLineChars="200"/>
        <w:jc w:val="left"/>
        <w:rPr>
          <w:rFonts w:eastAsia="仿宋_GB2312" w:cs="仿宋_GB2312"/>
          <w:sz w:val="32"/>
          <w:szCs w:val="32"/>
        </w:rPr>
      </w:pPr>
      <w:r>
        <w:rPr>
          <w:rFonts w:hint="eastAsia" w:eastAsia="仿宋_GB2312" w:cs="仿宋_GB2312"/>
          <w:sz w:val="32"/>
          <w:szCs w:val="32"/>
        </w:rPr>
        <w:t>3、积极开展困难对象就业援助活动，进一步把就业服务工作落到实处。</w:t>
      </w:r>
      <w:r>
        <w:rPr>
          <w:rFonts w:eastAsia="仿宋_GB2312" w:cs="仿宋_GB2312"/>
          <w:sz w:val="32"/>
          <w:szCs w:val="32"/>
        </w:rPr>
        <w:t>我区以增加城镇就业岗位为目标，以落实</w:t>
      </w:r>
      <w:r>
        <w:rPr>
          <w:rFonts w:hint="eastAsia" w:eastAsia="仿宋_GB2312" w:cs="仿宋_GB2312"/>
          <w:sz w:val="32"/>
          <w:szCs w:val="32"/>
        </w:rPr>
        <w:t>各项</w:t>
      </w:r>
      <w:r>
        <w:rPr>
          <w:rFonts w:eastAsia="仿宋_GB2312" w:cs="仿宋_GB2312"/>
          <w:sz w:val="32"/>
          <w:szCs w:val="32"/>
        </w:rPr>
        <w:t>就业政策为主线，强化就业服务手段，帮助各种就业困难群体，大力推进</w:t>
      </w:r>
      <w:r>
        <w:rPr>
          <w:rFonts w:hint="eastAsia" w:eastAsia="仿宋_GB2312" w:cs="仿宋_GB2312"/>
          <w:sz w:val="32"/>
          <w:szCs w:val="32"/>
        </w:rPr>
        <w:t>真抓实干促进</w:t>
      </w:r>
      <w:r>
        <w:rPr>
          <w:rFonts w:eastAsia="仿宋_GB2312" w:cs="仿宋_GB2312"/>
          <w:sz w:val="32"/>
          <w:szCs w:val="32"/>
        </w:rPr>
        <w:t>就业工作。</w:t>
      </w:r>
      <w:r>
        <w:rPr>
          <w:rFonts w:hint="eastAsia" w:eastAsia="仿宋_GB2312" w:cs="仿宋_GB2312"/>
          <w:sz w:val="32"/>
          <w:szCs w:val="32"/>
        </w:rPr>
        <w:t>年初</w:t>
      </w:r>
      <w:r>
        <w:rPr>
          <w:rFonts w:eastAsia="仿宋_GB2312" w:cs="仿宋_GB2312"/>
          <w:sz w:val="32"/>
          <w:szCs w:val="32"/>
        </w:rPr>
        <w:t>组织召开乡镇、街道人社服务中心主任召开</w:t>
      </w:r>
      <w:r>
        <w:rPr>
          <w:rFonts w:hint="eastAsia" w:eastAsia="仿宋_GB2312" w:cs="仿宋_GB2312"/>
          <w:sz w:val="32"/>
          <w:szCs w:val="32"/>
        </w:rPr>
        <w:t>了</w:t>
      </w:r>
      <w:r>
        <w:rPr>
          <w:rFonts w:eastAsia="仿宋_GB2312" w:cs="仿宋_GB2312"/>
          <w:sz w:val="32"/>
          <w:szCs w:val="32"/>
        </w:rPr>
        <w:t>促进就业真抓实干</w:t>
      </w:r>
      <w:r>
        <w:rPr>
          <w:rFonts w:hint="eastAsia" w:eastAsia="仿宋_GB2312" w:cs="仿宋_GB2312"/>
          <w:sz w:val="32"/>
          <w:szCs w:val="32"/>
        </w:rPr>
        <w:t>促进</w:t>
      </w:r>
      <w:r>
        <w:rPr>
          <w:rFonts w:eastAsia="仿宋_GB2312" w:cs="仿宋_GB2312"/>
          <w:sz w:val="32"/>
          <w:szCs w:val="32"/>
        </w:rPr>
        <w:t>会，重点强调了今年目标管理考核办法以及报表报送的问题，再次强调了真抓实干以及</w:t>
      </w:r>
      <w:r>
        <w:rPr>
          <w:rFonts w:hint="eastAsia" w:eastAsia="仿宋_GB2312" w:cs="仿宋_GB2312"/>
          <w:sz w:val="32"/>
          <w:szCs w:val="32"/>
        </w:rPr>
        <w:t>乡村振兴</w:t>
      </w:r>
      <w:r>
        <w:rPr>
          <w:rFonts w:eastAsia="仿宋_GB2312" w:cs="仿宋_GB2312"/>
          <w:sz w:val="32"/>
          <w:szCs w:val="32"/>
        </w:rPr>
        <w:t>工作的重要性，要求新增就业人数必须按月上报报表和新增名册。全年通过报送统计，</w:t>
      </w:r>
      <w:r>
        <w:rPr>
          <w:rFonts w:hint="eastAsia" w:eastAsia="仿宋_GB2312" w:cs="仿宋_GB2312"/>
          <w:sz w:val="32"/>
          <w:szCs w:val="32"/>
        </w:rPr>
        <w:t>截止至12月底，共完成城镇累计新就业7391人，自然减员991人，完成城镇新增就业6400人，占目标任务的100%。其中：赫山街道实现城镇新增就业人员1445人；金银山街道实现城镇新增就业人员1150人；会龙山街道实现城镇新增就业人员1073人；桃花仑街道实现城镇新增就业人员1192人；龙岭工业集中区实现新增就业人员280人；鱼形山街道实现城镇新增就业人员14人；10个乡镇实现城镇新增就业人员共计525人，区内重点企业实现城镇新增就业人员837人，全年合计6516人。</w:t>
      </w:r>
    </w:p>
    <w:p w14:paraId="08D32551">
      <w:pPr>
        <w:widowControl/>
        <w:spacing w:line="480" w:lineRule="exact"/>
        <w:ind w:firstLine="640" w:firstLineChars="200"/>
        <w:jc w:val="left"/>
        <w:rPr>
          <w:rFonts w:eastAsia="仿宋_GB2312" w:cs="仿宋_GB2312"/>
          <w:sz w:val="32"/>
          <w:szCs w:val="32"/>
        </w:rPr>
      </w:pPr>
      <w:r>
        <w:rPr>
          <w:rFonts w:hint="eastAsia" w:eastAsia="仿宋_GB2312" w:cs="仿宋_GB2312"/>
          <w:sz w:val="32"/>
          <w:szCs w:val="32"/>
        </w:rPr>
        <w:t>4</w:t>
      </w:r>
      <w:r>
        <w:rPr>
          <w:rFonts w:eastAsia="仿宋_GB2312" w:cs="仿宋_GB2312"/>
          <w:sz w:val="32"/>
          <w:szCs w:val="32"/>
        </w:rPr>
        <w:t>、认真做好失业人员的就业失业登记和就业困难人员的认定工作。</w:t>
      </w:r>
      <w:r>
        <w:rPr>
          <w:rFonts w:hint="eastAsia" w:eastAsia="仿宋_GB2312" w:cs="仿宋_GB2312"/>
          <w:sz w:val="32"/>
          <w:szCs w:val="32"/>
        </w:rPr>
        <w:t>全年共计办理《就业失业登记证》817本，重新建立了全区就业失业登记证信息系统和就业失业登记信息数据库。同时认定了就业困难人员590多人。2022年为760名灵活就业的就业困难人员发放养老保险补贴342.97万元；为促进贫困劳动力就业，开展乡村振兴农村人居环境整治的乡镇、街道吸纳了394名符合条件公益性岗位工作的脱贫人口、弱劳力、半劳力，安排公益性岗位补贴673.63 万元。</w:t>
      </w:r>
    </w:p>
    <w:p w14:paraId="3EDBF35E">
      <w:pPr>
        <w:widowControl/>
        <w:spacing w:line="480" w:lineRule="exact"/>
        <w:ind w:firstLine="640" w:firstLineChars="200"/>
        <w:jc w:val="left"/>
        <w:rPr>
          <w:rFonts w:eastAsia="仿宋_GB2312" w:cs="仿宋_GB2312"/>
          <w:sz w:val="32"/>
          <w:szCs w:val="32"/>
        </w:rPr>
      </w:pPr>
      <w:r>
        <w:rPr>
          <w:rFonts w:hint="eastAsia" w:eastAsia="仿宋_GB2312" w:cs="仿宋_GB2312"/>
          <w:sz w:val="32"/>
          <w:szCs w:val="32"/>
        </w:rPr>
        <w:t>5、积极落实惠民政策，进一步促进创业担保贴息贷款工作。经我区创业担保贴息贷款工作联系会议研究决定，2022年自1月20日启动创业担保贴息贷款工作，今年的总规模为5000万元。我们加强与财政、银行等部门协调对接，结合就业形势，研判和部署全年创业担保贷款支持企业和个体工商户发展工作。创业担保贷款已为符合条件的个体户、合伙企业以及小微企业发放114 笔，发放人数130人，发放总金额为3580万元。</w:t>
      </w:r>
    </w:p>
    <w:p w14:paraId="5F2276E8">
      <w:pPr>
        <w:widowControl/>
        <w:spacing w:line="480" w:lineRule="exact"/>
        <w:ind w:firstLine="640" w:firstLineChars="200"/>
        <w:jc w:val="left"/>
        <w:rPr>
          <w:rFonts w:eastAsia="仿宋_GB2312" w:cs="仿宋_GB2312"/>
          <w:sz w:val="32"/>
          <w:szCs w:val="32"/>
        </w:rPr>
      </w:pPr>
      <w:r>
        <w:rPr>
          <w:rFonts w:hint="eastAsia" w:eastAsia="仿宋_GB2312" w:cs="仿宋_GB2312"/>
          <w:sz w:val="32"/>
          <w:szCs w:val="32"/>
        </w:rPr>
        <w:t>6、落实就业优先政策，扎实做好高校毕业生实名制就业服务工作。高校毕业生就业关系民生福祉、社会稳定和高质量发展。今年我区高校毕业生回乡就业创业人数达1852人，均已分到各社区、各村进行核对，跟踪回访率、就业服务率均100%，离校未就业高校毕业生就业率达到97%。自5月16日我区积极组织召开2022年全国普通高等学校毕业生就业创业工作电视电话会议后，区人社局高度重视高校毕业生的就业创业工作，将高校毕业生作为拓展重点群体就业渠道的首位，推动其实现更加充分更高质量就业。</w:t>
      </w:r>
    </w:p>
    <w:p w14:paraId="3C4F361C">
      <w:pPr>
        <w:widowControl/>
        <w:spacing w:line="480" w:lineRule="exact"/>
        <w:ind w:firstLine="640" w:firstLineChars="200"/>
        <w:jc w:val="left"/>
        <w:rPr>
          <w:rFonts w:eastAsia="仿宋_GB2312" w:cs="仿宋_GB2312"/>
          <w:sz w:val="32"/>
          <w:szCs w:val="32"/>
        </w:rPr>
      </w:pPr>
      <w:r>
        <w:rPr>
          <w:rFonts w:hint="eastAsia" w:eastAsia="仿宋_GB2312" w:cs="仿宋_GB2312"/>
          <w:sz w:val="32"/>
          <w:szCs w:val="32"/>
        </w:rPr>
        <w:t>7、加强组织领导，全力做好脱贫劳动力就业帮扶工作。</w:t>
      </w:r>
      <w:r>
        <w:rPr>
          <w:rFonts w:eastAsia="仿宋_GB2312" w:cs="仿宋_GB2312"/>
          <w:sz w:val="32"/>
          <w:szCs w:val="32"/>
        </w:rPr>
        <w:t>我</w:t>
      </w:r>
      <w:r>
        <w:rPr>
          <w:rFonts w:hint="eastAsia" w:eastAsia="仿宋_GB2312" w:cs="仿宋_GB2312"/>
          <w:sz w:val="32"/>
          <w:szCs w:val="32"/>
        </w:rPr>
        <w:t>区人社部局成立了2022年脱贫劳动力就业帮扶工作领导小组，协同开展贫困劳动力务工就业数据互认，统一管理贫困劳动力务工就业信息的更新维护，定期调度各乡镇、街道目标任务完成情况和工作质量，推进贫困劳动力稳岗就业各项工作，推动就业扶贫服务和政策落实落地，明确责任分工，形成工作合力，为推动巩固脱贫攻坚与乡村振兴有效衔接就业帮扶工作提供坚强组织保障。我区积极帮助有就业意愿未就业的脱贫人口实现就业，帮助已就业人员稳定就业，截止2022年12月为止全区脱贫劳动力总人数15787人，其中已就业人数13589人，就业率占比86.1%。2022年12月脱贫劳动力365人，已就业人数317人。建立了我区脱贫劳动力务工情况台账；建立了扶贫车间以及吸纳脱贫人口就业台账；建立了人社部门开发公益性岗位安置脱贫人口就业台账。保持了脱贫人口就业规模总体稳定。</w:t>
      </w:r>
    </w:p>
    <w:p w14:paraId="0B8C69C7">
      <w:pPr>
        <w:widowControl/>
        <w:spacing w:line="480" w:lineRule="exact"/>
        <w:ind w:firstLine="640" w:firstLineChars="200"/>
        <w:jc w:val="left"/>
        <w:rPr>
          <w:rFonts w:eastAsia="仿宋_GB2312" w:cs="仿宋_GB2312"/>
          <w:sz w:val="32"/>
          <w:szCs w:val="32"/>
        </w:rPr>
      </w:pPr>
      <w:r>
        <w:rPr>
          <w:rFonts w:hint="eastAsia" w:eastAsia="仿宋_GB2312" w:cs="仿宋_GB2312"/>
          <w:sz w:val="32"/>
          <w:szCs w:val="32"/>
        </w:rPr>
        <w:t>8、完善基层平台管理，对农民工实行动态管理，进行实时跟踪。充分利用村（社区）、乡镇（街道）、区三级平台系统，优化创业信息台账，建立长效机制，准确掌握农民工数量、行业工种、务工区域、技能状况、创业意愿等，实行动态管理。今年我区</w:t>
      </w:r>
      <w:r>
        <w:rPr>
          <w:rFonts w:eastAsia="仿宋_GB2312" w:cs="仿宋_GB2312"/>
          <w:sz w:val="32"/>
          <w:szCs w:val="32"/>
        </w:rPr>
        <w:t>积极组织参加第五届“中国创翼”创业创新大赛益阳市</w:t>
      </w:r>
      <w:r>
        <w:rPr>
          <w:rFonts w:hint="eastAsia" w:eastAsia="仿宋_GB2312" w:cs="仿宋_GB2312"/>
          <w:sz w:val="32"/>
          <w:szCs w:val="32"/>
          <w:lang w:eastAsia="zh-CN"/>
        </w:rPr>
        <w:t>选拔</w:t>
      </w:r>
      <w:r>
        <w:rPr>
          <w:rFonts w:eastAsia="仿宋_GB2312" w:cs="仿宋_GB2312"/>
          <w:sz w:val="32"/>
          <w:szCs w:val="32"/>
        </w:rPr>
        <w:t>赛，获得乡村振兴专项赛第一名、主体赛服务业第二名、主体赛制造业第三名、劳务品牌第三名和优秀组织奖</w:t>
      </w:r>
      <w:r>
        <w:rPr>
          <w:rFonts w:hint="eastAsia" w:eastAsia="仿宋_GB2312" w:cs="仿宋_GB2312"/>
          <w:sz w:val="32"/>
          <w:szCs w:val="32"/>
        </w:rPr>
        <w:t>。</w:t>
      </w:r>
    </w:p>
    <w:p w14:paraId="30F310B6">
      <w:pPr>
        <w:widowControl/>
        <w:spacing w:line="480" w:lineRule="exact"/>
        <w:ind w:firstLine="640" w:firstLineChars="200"/>
        <w:jc w:val="left"/>
        <w:rPr>
          <w:rFonts w:eastAsia="仿宋_GB2312" w:cs="仿宋_GB2312"/>
          <w:sz w:val="32"/>
          <w:szCs w:val="32"/>
        </w:rPr>
      </w:pPr>
      <w:r>
        <w:rPr>
          <w:rFonts w:hint="eastAsia" w:eastAsia="仿宋_GB2312" w:cs="仿宋_GB2312"/>
          <w:sz w:val="32"/>
          <w:szCs w:val="32"/>
        </w:rPr>
        <w:t>9、稳定失业保险参保总人数，狠抓基金征缴全面完成。全力推进失业保险扩面工作。为拓展费源，确保完成市局下达的扩面任务，我中心分别从区财政局、区编委、区工商局提取了全区事业单位及私营企业信息资料。归类排查，建立了应参保单位台帐、切实掌握了我区各类型单位详细资料，并建立了企事业单位台帐。我们与劳动监察、养老保险、医疗保险机构等部门密切联系，建立了齐抓共管的良好机制。开展了失业保险网上业务经办，正常完成单位参保、人员异动、失业保险金待遇提标发放等日常工作。今年失业保险企业参保 6300多人，累计稳定失业保险参保总人数2.68万人。</w:t>
      </w:r>
    </w:p>
    <w:p w14:paraId="544FC190">
      <w:pPr>
        <w:widowControl/>
        <w:spacing w:line="480" w:lineRule="exact"/>
        <w:jc w:val="left"/>
        <w:rPr>
          <w:rFonts w:eastAsia="仿宋_GB2312" w:cs="仿宋_GB2312"/>
          <w:sz w:val="32"/>
          <w:szCs w:val="32"/>
        </w:rPr>
      </w:pPr>
      <w:r>
        <w:rPr>
          <w:rFonts w:hint="eastAsia" w:eastAsia="仿宋_GB2312" w:cs="仿宋_GB2312"/>
          <w:sz w:val="32"/>
          <w:szCs w:val="32"/>
        </w:rPr>
        <w:t>依法依规操作，严格把关，细致发放，保证基金支出不出差错。我们对失业职工924人次进行了正常发放，同时对外转失业人员的转迁发放热情接待，办理转移手续，按时按月严格按失业保险发放条件发放。实行阳光操作，对不符合发放条件的，一律拒发，把住人情关、亲情关。符合发放条件的，准时、细致地发放，做到了无一错发、漏发现象的发生。对每个改制企业的发放情况张榜公布，接受群众监督和举报。今年稳定岗位补贴支出：为143家企业发放稳定岗位补贴支出168.48万元，惠及7959名参保职工；为符合申领条件的605人次失业职工发放失业补助金18.15万元；为27家企业发放一次性留岗培训补贴47.1万元，惠及942人；为 6家企业次发放一次性扩岗补助6.9万元，惠及职工34人；为失业职工 924人次发放失业金94.94万元；为891人次缴纳职工医疗保险费 27.49万元，为3人发放技能提升补贴 0.55 万元。通过</w:t>
      </w:r>
      <w:r>
        <w:rPr>
          <w:rFonts w:eastAsia="仿宋_GB2312" w:cs="仿宋_GB2312"/>
          <w:sz w:val="32"/>
          <w:szCs w:val="32"/>
        </w:rPr>
        <w:t>落实失业保险稳岗返还、困难企业稳岗返还政策。</w:t>
      </w:r>
      <w:r>
        <w:rPr>
          <w:rFonts w:hint="eastAsia" w:eastAsia="仿宋_GB2312" w:cs="仿宋_GB2312"/>
          <w:sz w:val="32"/>
          <w:szCs w:val="32"/>
        </w:rPr>
        <w:t>根据湘政办发[2022]14号《湖南省促进服务业领域部分困难行业恢复发展的若干政策》文件精神，面对疫情对经济的冲击和就业的不利影响，根据国务院及人社部的相关政策，我区积极落实上级决策部署，全面强化稳就业举措， 2022年5月份我区人社局就业中心迅速启动失业保险稳岗返还工作。对不裁员、少裁员的企业继续实施普惠性失业保险稳岗返还政策，今年将中小微企业返还比例从上年度应缴失业保险费总额60%最高提至90%，并实行“免审即享”服务模式。截止今年8月底，我区有湖南口味王实业有限公司、湖南龙建达电子科技有限公司、湖南莎丽袜业股份有限公司等143个单位符合享受补贴条件，然后经过区级就业中心失业保险股审核，目前已严格按照标准拨付2022年度失业保险稳岗补贴总额共计168.48万元，惠及7959名职工。我们突出“四精”服务，企业“零申报、零跑腿”，稳岗返还发放“简、准、快”。</w:t>
      </w:r>
    </w:p>
    <w:p w14:paraId="75D6D6FA">
      <w:pPr>
        <w:widowControl/>
        <w:spacing w:line="480" w:lineRule="exact"/>
        <w:ind w:firstLine="640" w:firstLineChars="200"/>
        <w:jc w:val="left"/>
        <w:rPr>
          <w:rFonts w:eastAsia="仿宋_GB2312" w:cs="仿宋_GB2312"/>
          <w:sz w:val="32"/>
          <w:szCs w:val="32"/>
        </w:rPr>
      </w:pPr>
      <w:r>
        <w:rPr>
          <w:rFonts w:hint="eastAsia" w:eastAsia="仿宋_GB2312" w:cs="仿宋_GB2312"/>
          <w:sz w:val="32"/>
          <w:szCs w:val="32"/>
        </w:rPr>
        <w:t>10、</w:t>
      </w:r>
      <w:r>
        <w:rPr>
          <w:rFonts w:eastAsia="仿宋_GB2312" w:cs="仿宋_GB2312"/>
          <w:sz w:val="32"/>
          <w:szCs w:val="32"/>
        </w:rPr>
        <w:t>健全面向全体劳动者的职业培训制度，大规模地开</w:t>
      </w:r>
    </w:p>
    <w:p w14:paraId="37697D64">
      <w:pPr>
        <w:widowControl/>
        <w:spacing w:line="480" w:lineRule="exact"/>
        <w:jc w:val="left"/>
        <w:rPr>
          <w:rFonts w:eastAsia="仿宋_GB2312" w:cs="仿宋_GB2312"/>
          <w:sz w:val="32"/>
          <w:szCs w:val="32"/>
        </w:rPr>
      </w:pPr>
      <w:r>
        <w:rPr>
          <w:rFonts w:eastAsia="仿宋_GB2312" w:cs="仿宋_GB2312"/>
          <w:sz w:val="32"/>
          <w:szCs w:val="32"/>
        </w:rPr>
        <w:t>展各类就业技能培训和创业培训。</w:t>
      </w:r>
      <w:r>
        <w:rPr>
          <w:rFonts w:hint="eastAsia" w:eastAsia="仿宋_GB2312" w:cs="仿宋_GB2312"/>
          <w:sz w:val="32"/>
          <w:szCs w:val="32"/>
        </w:rPr>
        <w:t>我区继续站在保障和改善民生，助力高质量发展的高度，切实加强开展职业技能提升行动的责任感，增强服务理念和市场经济理念，建立健全的财务制度，专款专用。培训工作以提升劳动者职业技能水平和就业创业能力，进行职业技能提升行动培训以及创业培训两大培训为重点。根据职业技能培训工作的新要求，我们的培训方式也作了新的改变。全区各类职业培训机构踊跃参与职业培训队伍，大力组织开展各类技能培训，力争圆满完成市、区下达的目标任务。年初我们制定了培训工作计划，分解了培训任务，成立了培训工作领导小组，明确了全年目标任务为开展职业技能培训2500人，创业培训700人，要求各类培训机构严格按照有关文件精神，认真确定培训专业，选聘教师，完善办学条件，严格按照各项重点类型职业技能培训任务，保障任务的圆满完成。我们认真抓好职业技能培训工作，指导包括益阳市职业卫校在内的培训机构严格按照标准搞好培训工作，并指导进行职业技能等级认定工作。全年开展各类补贴性职业技能培训77期，培训专业有缝纫工、家政服务员、加工中心操作工、精密仪器维修工等，参加培训机构8个，共计培训3272人，完成目标任务的102%。具体完成情况：益阳市卫生职业技术学校917人；益阳广文职业培训学校有限公司技能培训190人，创业培训365人；益阳博惠职业培训学校147人；益阳天翊职业培训学校200人；益阳恒培职业培训学校450人；赫山区龙门职业技术培训学校189人；知行职业培训学校47人；益阳科技工程学校技能培训400人，创业培训367人。今年由博惠职业培训学校培训和恒培职业培训学校共计培训缝纫工8期，培训学员400人，为我区“一县一品”劳务品牌“益美裁缝”申报准备技能人才。为大力推进大众创业、万众创新，进一步激发乡村振兴活力。</w:t>
      </w:r>
    </w:p>
    <w:p w14:paraId="3AB75233">
      <w:pPr>
        <w:pStyle w:val="8"/>
        <w:widowControl/>
        <w:spacing w:line="480" w:lineRule="exact"/>
        <w:ind w:firstLine="640"/>
        <w:jc w:val="left"/>
        <w:rPr>
          <w:rFonts w:ascii="Times New Roman" w:hAnsi="Times New Roman" w:eastAsia="黑体" w:cs="Times New Roman"/>
          <w:sz w:val="32"/>
          <w:szCs w:val="32"/>
        </w:rPr>
      </w:pPr>
      <w:r>
        <w:rPr>
          <w:rFonts w:hint="eastAsia" w:ascii="Times New Roman" w:hAnsi="Times New Roman" w:eastAsia="黑体" w:cs="黑体"/>
          <w:sz w:val="32"/>
          <w:szCs w:val="32"/>
        </w:rPr>
        <w:t>七、存在的问题及原因分析</w:t>
      </w:r>
    </w:p>
    <w:p w14:paraId="37AA1A29">
      <w:pPr>
        <w:widowControl/>
        <w:spacing w:line="480" w:lineRule="exact"/>
        <w:ind w:firstLine="640" w:firstLineChars="200"/>
        <w:jc w:val="left"/>
        <w:rPr>
          <w:rFonts w:eastAsia="仿宋_GB2312" w:cs="仿宋_GB2312"/>
          <w:color w:val="000000"/>
          <w:sz w:val="32"/>
          <w:szCs w:val="32"/>
        </w:rPr>
      </w:pPr>
      <w:r>
        <w:rPr>
          <w:rFonts w:eastAsia="仿宋_GB2312" w:cs="仿宋_GB2312"/>
          <w:color w:val="000000"/>
          <w:sz w:val="32"/>
          <w:szCs w:val="32"/>
        </w:rPr>
        <w:t>（一）资金使用效益有待进一步提高。预算资金使用计划性有待加强，完善用款计划管理，更科学合理的编制资金使用计划。</w:t>
      </w:r>
    </w:p>
    <w:p w14:paraId="39174C49">
      <w:pPr>
        <w:widowControl/>
        <w:spacing w:line="480" w:lineRule="exact"/>
        <w:ind w:firstLine="640" w:firstLineChars="200"/>
        <w:jc w:val="left"/>
        <w:rPr>
          <w:rFonts w:eastAsia="仿宋_GB2312" w:cs="仿宋_GB2312"/>
          <w:color w:val="000000"/>
          <w:sz w:val="32"/>
          <w:szCs w:val="32"/>
        </w:rPr>
      </w:pPr>
      <w:r>
        <w:rPr>
          <w:rFonts w:eastAsia="仿宋_GB2312" w:cs="仿宋_GB2312"/>
          <w:color w:val="000000"/>
          <w:sz w:val="32"/>
          <w:szCs w:val="32"/>
        </w:rPr>
        <w:t>（二）在实际经费列支中，未严格按照预算科目及专项项目进行列支。进一步细化收支项目，按时按进度支出。</w:t>
      </w:r>
    </w:p>
    <w:p w14:paraId="5D01F937">
      <w:pPr>
        <w:widowControl/>
        <w:spacing w:line="480" w:lineRule="exact"/>
        <w:ind w:firstLine="640" w:firstLineChars="200"/>
        <w:jc w:val="left"/>
        <w:rPr>
          <w:rFonts w:eastAsia="仿宋_GB2312" w:cs="仿宋_GB2312"/>
          <w:color w:val="000000"/>
          <w:sz w:val="32"/>
          <w:szCs w:val="32"/>
        </w:rPr>
      </w:pPr>
      <w:r>
        <w:rPr>
          <w:rFonts w:eastAsia="仿宋_GB2312" w:cs="仿宋_GB2312"/>
          <w:color w:val="000000"/>
          <w:sz w:val="32"/>
          <w:szCs w:val="32"/>
        </w:rPr>
        <w:t>（三）财政资金缺口较大。由于单位编制的性质，单位人员经费的差距非常大，请财政根据就业管理事业发展的要求和我单位实际情况，着情提高年初部门预算安排。</w:t>
      </w:r>
    </w:p>
    <w:p w14:paraId="73A9EF43">
      <w:pPr>
        <w:widowControl/>
        <w:spacing w:line="480" w:lineRule="exact"/>
        <w:ind w:firstLine="640" w:firstLineChars="200"/>
        <w:jc w:val="left"/>
        <w:rPr>
          <w:rFonts w:eastAsia="黑体" w:cs="黑体"/>
          <w:sz w:val="32"/>
          <w:szCs w:val="32"/>
        </w:rPr>
      </w:pPr>
      <w:r>
        <w:rPr>
          <w:rFonts w:hint="eastAsia" w:eastAsia="黑体" w:cs="黑体"/>
          <w:sz w:val="32"/>
          <w:szCs w:val="32"/>
        </w:rPr>
        <w:t>八、下一步改进措施</w:t>
      </w:r>
    </w:p>
    <w:p w14:paraId="70CE4B8C">
      <w:pPr>
        <w:widowControl/>
        <w:spacing w:line="480" w:lineRule="exact"/>
        <w:ind w:firstLine="480" w:firstLineChars="150"/>
        <w:jc w:val="left"/>
        <w:rPr>
          <w:rFonts w:eastAsia="仿宋_GB2312" w:cs="仿宋_GB2312"/>
          <w:color w:val="000000"/>
          <w:sz w:val="32"/>
          <w:szCs w:val="32"/>
        </w:rPr>
      </w:pPr>
      <w:r>
        <w:rPr>
          <w:rFonts w:eastAsia="仿宋_GB2312" w:cs="仿宋_GB2312"/>
          <w:color w:val="000000"/>
          <w:sz w:val="32"/>
          <w:szCs w:val="32"/>
        </w:rPr>
        <w:t>（一）细化预算编制工作。进一步加强内部预算管理意识，严格按照预算编制的相关制度和要求进行预算编制，提高预算编制科学性和合理性，严格执行预算。加强预算编制的前瞻性，按照新《预算法》及其实施条例的相关规定发展规划，结合上一年度预算执行情况和本年度预算收支变化因素，科学、合理地编制本年预算草案，提高预算编制科学性和合理性，优化资金结构。增强预算编制的全面性、准确性，强化预算执行的严肃性。</w:t>
      </w:r>
    </w:p>
    <w:p w14:paraId="53D4463A">
      <w:pPr>
        <w:widowControl/>
        <w:spacing w:line="480" w:lineRule="exact"/>
        <w:ind w:firstLine="640" w:firstLineChars="200"/>
        <w:jc w:val="left"/>
        <w:rPr>
          <w:rFonts w:eastAsia="仿宋_GB2312" w:cs="仿宋_GB2312"/>
          <w:color w:val="000000"/>
          <w:sz w:val="32"/>
          <w:szCs w:val="32"/>
        </w:rPr>
      </w:pPr>
      <w:r>
        <w:rPr>
          <w:rFonts w:eastAsia="仿宋_GB2312" w:cs="仿宋_GB2312"/>
          <w:color w:val="000000"/>
          <w:sz w:val="32"/>
          <w:szCs w:val="32"/>
        </w:rPr>
        <w:t>（二）兼顾预算调整的灵活性。开展预算执行分析，及时掌握预算执行进度，适时对预算执行情况进行通报和督促。对确有必要的预算调整严格按程序审核报批，加快消化结转结余资金。</w:t>
      </w:r>
    </w:p>
    <w:p w14:paraId="747FCAA0">
      <w:pPr>
        <w:widowControl/>
        <w:spacing w:line="480" w:lineRule="exact"/>
        <w:ind w:firstLine="640" w:firstLineChars="200"/>
        <w:jc w:val="left"/>
        <w:rPr>
          <w:rFonts w:eastAsia="仿宋_GB2312" w:cs="仿宋_GB2312"/>
          <w:color w:val="000000"/>
          <w:sz w:val="32"/>
          <w:szCs w:val="32"/>
        </w:rPr>
      </w:pPr>
      <w:r>
        <w:rPr>
          <w:rFonts w:eastAsia="仿宋_GB2312" w:cs="仿宋_GB2312"/>
          <w:color w:val="000000"/>
          <w:sz w:val="32"/>
          <w:szCs w:val="32"/>
        </w:rPr>
        <w:t>（三）加强财务管理，严格财务审核。有费用报账支付</w:t>
      </w:r>
    </w:p>
    <w:p w14:paraId="2948F6D5">
      <w:pPr>
        <w:widowControl/>
        <w:spacing w:line="480" w:lineRule="exact"/>
        <w:jc w:val="left"/>
        <w:rPr>
          <w:rFonts w:eastAsia="仿宋_GB2312" w:cs="仿宋_GB2312"/>
          <w:color w:val="000000"/>
          <w:sz w:val="32"/>
          <w:szCs w:val="32"/>
        </w:rPr>
      </w:pPr>
      <w:r>
        <w:rPr>
          <w:rFonts w:eastAsia="仿宋_GB2312" w:cs="仿宋_GB2312"/>
          <w:color w:val="000000"/>
          <w:sz w:val="32"/>
          <w:szCs w:val="32"/>
        </w:rPr>
        <w:t>时，按照预算规定的费用项目和用途进行资金使用审核、列</w:t>
      </w:r>
    </w:p>
    <w:p w14:paraId="03B06609">
      <w:pPr>
        <w:widowControl/>
        <w:spacing w:line="480" w:lineRule="exact"/>
        <w:jc w:val="left"/>
        <w:rPr>
          <w:rFonts w:eastAsia="仿宋_GB2312" w:cs="仿宋_GB2312"/>
          <w:color w:val="000000"/>
          <w:sz w:val="32"/>
          <w:szCs w:val="32"/>
        </w:rPr>
      </w:pPr>
      <w:r>
        <w:rPr>
          <w:rFonts w:eastAsia="仿宋_GB2312" w:cs="仿宋_GB2312"/>
          <w:color w:val="000000"/>
          <w:sz w:val="32"/>
          <w:szCs w:val="32"/>
        </w:rPr>
        <w:t>报支付、财务核算，杜绝超支现象的发生。加强财务人员的</w:t>
      </w:r>
    </w:p>
    <w:p w14:paraId="22287032">
      <w:pPr>
        <w:widowControl/>
        <w:spacing w:line="480" w:lineRule="exact"/>
        <w:jc w:val="left"/>
        <w:rPr>
          <w:rFonts w:eastAsia="仿宋_GB2312" w:cs="仿宋_GB2312"/>
          <w:color w:val="000000"/>
          <w:sz w:val="32"/>
          <w:szCs w:val="32"/>
        </w:rPr>
      </w:pPr>
      <w:r>
        <w:rPr>
          <w:rFonts w:eastAsia="仿宋_GB2312" w:cs="仿宋_GB2312"/>
          <w:color w:val="000000"/>
          <w:sz w:val="32"/>
          <w:szCs w:val="32"/>
        </w:rPr>
        <w:t>学习培训。</w:t>
      </w:r>
    </w:p>
    <w:p w14:paraId="5540DBCD">
      <w:pPr>
        <w:widowControl/>
        <w:spacing w:line="480" w:lineRule="exact"/>
        <w:ind w:firstLine="640" w:firstLineChars="200"/>
        <w:jc w:val="left"/>
        <w:rPr>
          <w:rFonts w:eastAsia="仿宋_GB2312" w:cs="仿宋_GB2312"/>
          <w:color w:val="000000"/>
          <w:sz w:val="32"/>
          <w:szCs w:val="32"/>
        </w:rPr>
      </w:pPr>
      <w:r>
        <w:rPr>
          <w:rFonts w:eastAsia="仿宋_GB2312" w:cs="仿宋_GB2312"/>
          <w:color w:val="000000"/>
          <w:sz w:val="32"/>
          <w:szCs w:val="32"/>
        </w:rPr>
        <w:t>（四）加强项目开展进度的跟踪，开展项目绩效评价，确保项目绩效目标的完成。完善制度管理，严格控制支出，严格执行中央、省、市有关文件精神。</w:t>
      </w:r>
    </w:p>
    <w:p w14:paraId="18A1ACAB">
      <w:pPr>
        <w:widowControl/>
        <w:spacing w:line="480" w:lineRule="exact"/>
        <w:ind w:firstLine="640" w:firstLineChars="200"/>
        <w:jc w:val="left"/>
        <w:rPr>
          <w:rFonts w:eastAsia="仿宋_GB2312" w:cs="仿宋_GB2312"/>
          <w:color w:val="000000"/>
          <w:sz w:val="32"/>
          <w:szCs w:val="32"/>
        </w:rPr>
      </w:pPr>
      <w:r>
        <w:rPr>
          <w:rFonts w:eastAsia="仿宋_GB2312" w:cs="仿宋_GB2312"/>
          <w:color w:val="000000"/>
          <w:sz w:val="32"/>
          <w:szCs w:val="32"/>
        </w:rPr>
        <w:t>（五）加强稽核、稽查工作。</w:t>
      </w:r>
    </w:p>
    <w:p w14:paraId="0E992534">
      <w:pPr>
        <w:widowControl/>
        <w:spacing w:line="480" w:lineRule="exact"/>
        <w:ind w:firstLine="645"/>
        <w:jc w:val="left"/>
        <w:rPr>
          <w:rFonts w:eastAsia="黑体"/>
          <w:sz w:val="32"/>
          <w:szCs w:val="32"/>
        </w:rPr>
      </w:pPr>
      <w:r>
        <w:rPr>
          <w:rFonts w:hint="eastAsia" w:eastAsia="黑体" w:cs="黑体"/>
          <w:sz w:val="32"/>
          <w:szCs w:val="32"/>
        </w:rPr>
        <w:t>九、其他需要说明的情况（无）</w:t>
      </w:r>
    </w:p>
    <w:p w14:paraId="20891791">
      <w:pPr>
        <w:spacing w:line="480" w:lineRule="exact"/>
        <w:rPr>
          <w:rFonts w:hint="eastAsia" w:ascii="黑体" w:eastAsia="黑体" w:cs="黑体"/>
          <w:sz w:val="32"/>
          <w:szCs w:val="32"/>
        </w:rPr>
      </w:pPr>
    </w:p>
    <w:p w14:paraId="71433D7A">
      <w:pPr>
        <w:spacing w:line="480" w:lineRule="exact"/>
        <w:rPr>
          <w:rFonts w:hint="eastAsia" w:ascii="黑体" w:eastAsia="黑体" w:cs="黑体"/>
          <w:sz w:val="32"/>
          <w:szCs w:val="32"/>
        </w:rPr>
      </w:pPr>
    </w:p>
    <w:p w14:paraId="19FDF691">
      <w:pPr>
        <w:spacing w:line="480" w:lineRule="exact"/>
        <w:rPr>
          <w:rFonts w:hint="eastAsia" w:ascii="黑体" w:eastAsia="黑体" w:cs="黑体"/>
          <w:sz w:val="32"/>
          <w:szCs w:val="32"/>
        </w:rPr>
      </w:pPr>
    </w:p>
    <w:p w14:paraId="7B8244E1">
      <w:pPr>
        <w:spacing w:line="480" w:lineRule="exact"/>
        <w:rPr>
          <w:rFonts w:hint="eastAsia" w:ascii="黑体" w:eastAsia="黑体" w:cs="黑体"/>
          <w:sz w:val="32"/>
          <w:szCs w:val="32"/>
        </w:rPr>
      </w:pPr>
    </w:p>
    <w:p w14:paraId="725D4025">
      <w:pPr>
        <w:spacing w:line="480" w:lineRule="exact"/>
        <w:rPr>
          <w:rFonts w:hint="eastAsia" w:ascii="黑体" w:eastAsia="黑体" w:cs="黑体"/>
          <w:sz w:val="32"/>
          <w:szCs w:val="32"/>
        </w:rPr>
      </w:pPr>
    </w:p>
    <w:p w14:paraId="0EF329C0">
      <w:pPr>
        <w:spacing w:line="480" w:lineRule="exact"/>
        <w:rPr>
          <w:rFonts w:hint="eastAsia" w:ascii="黑体" w:eastAsia="黑体" w:cs="黑体"/>
          <w:sz w:val="32"/>
          <w:szCs w:val="32"/>
        </w:rPr>
      </w:pPr>
    </w:p>
    <w:p w14:paraId="091D56DD">
      <w:pPr>
        <w:spacing w:line="480" w:lineRule="exact"/>
        <w:rPr>
          <w:rFonts w:hint="eastAsia" w:ascii="黑体" w:eastAsia="黑体" w:cs="黑体"/>
          <w:sz w:val="32"/>
          <w:szCs w:val="32"/>
        </w:rPr>
      </w:pPr>
    </w:p>
    <w:p w14:paraId="2E851987">
      <w:pPr>
        <w:spacing w:line="480" w:lineRule="exact"/>
        <w:rPr>
          <w:rFonts w:hint="eastAsia" w:ascii="黑体" w:eastAsia="黑体" w:cs="黑体"/>
          <w:sz w:val="32"/>
          <w:szCs w:val="32"/>
        </w:rPr>
      </w:pPr>
    </w:p>
    <w:p w14:paraId="61040FB8">
      <w:pPr>
        <w:spacing w:line="480" w:lineRule="exact"/>
        <w:rPr>
          <w:rFonts w:hint="eastAsia" w:ascii="黑体" w:eastAsia="黑体" w:cs="黑体"/>
          <w:sz w:val="32"/>
          <w:szCs w:val="32"/>
        </w:rPr>
      </w:pPr>
    </w:p>
    <w:p w14:paraId="1D6B620A">
      <w:pPr>
        <w:spacing w:line="480" w:lineRule="exact"/>
        <w:rPr>
          <w:rFonts w:hint="eastAsia" w:ascii="黑体" w:eastAsia="黑体" w:cs="黑体"/>
          <w:sz w:val="32"/>
          <w:szCs w:val="32"/>
        </w:rPr>
      </w:pPr>
    </w:p>
    <w:p w14:paraId="27B1E0A2">
      <w:pPr>
        <w:spacing w:line="480" w:lineRule="exact"/>
        <w:rPr>
          <w:rFonts w:hint="eastAsia" w:ascii="黑体" w:eastAsia="黑体" w:cs="黑体"/>
          <w:sz w:val="32"/>
          <w:szCs w:val="32"/>
        </w:rPr>
      </w:pPr>
    </w:p>
    <w:p w14:paraId="5D67A7CE">
      <w:pPr>
        <w:spacing w:line="480" w:lineRule="exact"/>
        <w:rPr>
          <w:rFonts w:hint="eastAsia" w:ascii="黑体" w:eastAsia="黑体" w:cs="黑体"/>
          <w:sz w:val="32"/>
          <w:szCs w:val="32"/>
        </w:rPr>
      </w:pPr>
    </w:p>
    <w:p w14:paraId="5B3D995F">
      <w:pPr>
        <w:spacing w:line="480" w:lineRule="exact"/>
        <w:rPr>
          <w:rFonts w:hint="eastAsia" w:ascii="黑体" w:eastAsia="黑体" w:cs="黑体"/>
          <w:sz w:val="32"/>
          <w:szCs w:val="32"/>
        </w:rPr>
      </w:pPr>
    </w:p>
    <w:p w14:paraId="7379EF12">
      <w:pPr>
        <w:spacing w:line="480" w:lineRule="exact"/>
        <w:rPr>
          <w:rFonts w:ascii="黑体" w:eastAsia="黑体"/>
          <w:sz w:val="32"/>
          <w:szCs w:val="32"/>
        </w:rPr>
      </w:pPr>
      <w:r>
        <w:rPr>
          <w:rFonts w:hint="eastAsia" w:ascii="黑体" w:eastAsia="黑体" w:cs="黑体"/>
          <w:sz w:val="32"/>
          <w:szCs w:val="32"/>
        </w:rPr>
        <w:t>附件5：</w:t>
      </w:r>
    </w:p>
    <w:p w14:paraId="639B98A9">
      <w:pPr>
        <w:spacing w:beforeLines="50" w:afterLines="50"/>
        <w:jc w:val="center"/>
        <w:rPr>
          <w:rFonts w:ascii="方正小标宋简体" w:eastAsia="方正小标宋简体" w:cs="方正小标宋_GBK"/>
          <w:sz w:val="36"/>
          <w:szCs w:val="36"/>
        </w:rPr>
      </w:pPr>
      <w:r>
        <w:rPr>
          <w:rFonts w:hint="eastAsia" w:ascii="方正小标宋简体" w:eastAsia="方正小标宋简体" w:cs="方正小标宋_GBK"/>
          <w:sz w:val="36"/>
          <w:szCs w:val="36"/>
        </w:rPr>
        <w:t>2022年度部门整体支出绩效自评指标计分表</w:t>
      </w:r>
    </w:p>
    <w:tbl>
      <w:tblPr>
        <w:tblStyle w:val="5"/>
        <w:tblW w:w="533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45"/>
        <w:gridCol w:w="667"/>
        <w:gridCol w:w="889"/>
        <w:gridCol w:w="667"/>
        <w:gridCol w:w="2802"/>
        <w:gridCol w:w="3319"/>
      </w:tblGrid>
      <w:tr w14:paraId="4C899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9" w:hRule="atLeast"/>
          <w:tblHeader/>
          <w:jc w:val="center"/>
        </w:trPr>
        <w:tc>
          <w:tcPr>
            <w:tcW w:w="307" w:type="pct"/>
            <w:tcMar>
              <w:top w:w="10" w:type="dxa"/>
              <w:left w:w="10" w:type="dxa"/>
              <w:bottom w:w="0" w:type="dxa"/>
              <w:right w:w="10" w:type="dxa"/>
            </w:tcMar>
            <w:vAlign w:val="center"/>
          </w:tcPr>
          <w:p w14:paraId="6306438F">
            <w:pPr>
              <w:spacing w:line="240" w:lineRule="exact"/>
              <w:jc w:val="center"/>
              <w:rPr>
                <w:rFonts w:ascii="宋体" w:hAnsi="宋体" w:cs="宋体"/>
                <w:b/>
                <w:bCs/>
              </w:rPr>
            </w:pPr>
            <w:r>
              <w:rPr>
                <w:rFonts w:hint="eastAsia" w:ascii="宋体" w:hAnsi="宋体" w:cs="宋体"/>
                <w:b/>
                <w:bCs/>
              </w:rPr>
              <w:t>一级</w:t>
            </w:r>
          </w:p>
          <w:p w14:paraId="621332AA">
            <w:pPr>
              <w:spacing w:line="240" w:lineRule="exact"/>
              <w:jc w:val="center"/>
              <w:rPr>
                <w:rFonts w:ascii="宋体" w:cs="宋体"/>
                <w:b/>
                <w:bCs/>
              </w:rPr>
            </w:pPr>
            <w:r>
              <w:rPr>
                <w:rFonts w:hint="eastAsia" w:ascii="宋体" w:hAnsi="宋体" w:cs="宋体"/>
                <w:b/>
                <w:bCs/>
              </w:rPr>
              <w:t>指标</w:t>
            </w:r>
          </w:p>
        </w:tc>
        <w:tc>
          <w:tcPr>
            <w:tcW w:w="375" w:type="pct"/>
            <w:tcMar>
              <w:top w:w="10" w:type="dxa"/>
              <w:left w:w="10" w:type="dxa"/>
              <w:bottom w:w="0" w:type="dxa"/>
              <w:right w:w="10" w:type="dxa"/>
            </w:tcMar>
            <w:vAlign w:val="center"/>
          </w:tcPr>
          <w:p w14:paraId="4C6454BD">
            <w:pPr>
              <w:spacing w:line="240" w:lineRule="exact"/>
              <w:ind w:right="-174" w:rightChars="-83"/>
              <w:jc w:val="center"/>
              <w:rPr>
                <w:rFonts w:ascii="宋体" w:cs="宋体"/>
                <w:b/>
                <w:bCs/>
              </w:rPr>
            </w:pPr>
            <w:r>
              <w:rPr>
                <w:rFonts w:hint="eastAsia" w:ascii="宋体" w:hAnsi="宋体" w:cs="宋体"/>
                <w:b/>
                <w:bCs/>
              </w:rPr>
              <w:t>二级</w:t>
            </w:r>
          </w:p>
          <w:p w14:paraId="5879A9BA">
            <w:pPr>
              <w:spacing w:line="240" w:lineRule="exact"/>
              <w:ind w:right="-174" w:rightChars="-83"/>
              <w:jc w:val="center"/>
              <w:rPr>
                <w:rFonts w:ascii="宋体" w:cs="宋体"/>
                <w:b/>
                <w:bCs/>
              </w:rPr>
            </w:pPr>
            <w:r>
              <w:rPr>
                <w:rFonts w:hint="eastAsia" w:ascii="宋体" w:hAnsi="宋体" w:cs="宋体"/>
                <w:b/>
                <w:bCs/>
              </w:rPr>
              <w:t>指标</w:t>
            </w:r>
          </w:p>
        </w:tc>
        <w:tc>
          <w:tcPr>
            <w:tcW w:w="500" w:type="pct"/>
            <w:tcMar>
              <w:top w:w="10" w:type="dxa"/>
              <w:left w:w="10" w:type="dxa"/>
              <w:bottom w:w="0" w:type="dxa"/>
              <w:right w:w="10" w:type="dxa"/>
            </w:tcMar>
            <w:vAlign w:val="center"/>
          </w:tcPr>
          <w:p w14:paraId="3007DA77">
            <w:pPr>
              <w:spacing w:line="240" w:lineRule="exact"/>
              <w:jc w:val="center"/>
              <w:rPr>
                <w:rFonts w:ascii="宋体" w:cs="宋体"/>
                <w:b/>
                <w:bCs/>
              </w:rPr>
            </w:pPr>
            <w:r>
              <w:rPr>
                <w:rFonts w:hint="eastAsia" w:ascii="宋体" w:hAnsi="宋体" w:cs="宋体"/>
                <w:b/>
                <w:bCs/>
              </w:rPr>
              <w:t>三级</w:t>
            </w:r>
          </w:p>
          <w:p w14:paraId="1F12D07A">
            <w:pPr>
              <w:spacing w:line="240" w:lineRule="exact"/>
              <w:jc w:val="center"/>
              <w:rPr>
                <w:rFonts w:ascii="宋体" w:cs="宋体"/>
                <w:b/>
                <w:bCs/>
              </w:rPr>
            </w:pPr>
            <w:r>
              <w:rPr>
                <w:rFonts w:hint="eastAsia" w:ascii="宋体" w:hAnsi="宋体" w:cs="宋体"/>
                <w:b/>
                <w:bCs/>
              </w:rPr>
              <w:t>指标</w:t>
            </w:r>
          </w:p>
        </w:tc>
        <w:tc>
          <w:tcPr>
            <w:tcW w:w="375" w:type="pct"/>
            <w:tcMar>
              <w:top w:w="10" w:type="dxa"/>
              <w:left w:w="10" w:type="dxa"/>
              <w:bottom w:w="0" w:type="dxa"/>
              <w:right w:w="10" w:type="dxa"/>
            </w:tcMar>
            <w:vAlign w:val="center"/>
          </w:tcPr>
          <w:p w14:paraId="33E25B48">
            <w:pPr>
              <w:spacing w:line="240" w:lineRule="exact"/>
              <w:ind w:left="105" w:leftChars="50" w:right="105" w:rightChars="50"/>
              <w:jc w:val="center"/>
              <w:rPr>
                <w:rFonts w:ascii="宋体" w:cs="宋体"/>
                <w:b/>
                <w:bCs/>
              </w:rPr>
            </w:pPr>
            <w:r>
              <w:rPr>
                <w:rFonts w:hint="eastAsia" w:ascii="宋体" w:hAnsi="宋体" w:cs="宋体"/>
                <w:b/>
                <w:bCs/>
              </w:rPr>
              <w:t>自评分</w:t>
            </w:r>
          </w:p>
        </w:tc>
        <w:tc>
          <w:tcPr>
            <w:tcW w:w="1576" w:type="pct"/>
            <w:tcMar>
              <w:top w:w="10" w:type="dxa"/>
              <w:left w:w="10" w:type="dxa"/>
              <w:bottom w:w="0" w:type="dxa"/>
              <w:right w:w="10" w:type="dxa"/>
            </w:tcMar>
            <w:vAlign w:val="center"/>
          </w:tcPr>
          <w:p w14:paraId="298ABB96">
            <w:pPr>
              <w:spacing w:line="240" w:lineRule="exact"/>
              <w:ind w:left="105" w:leftChars="50" w:right="105" w:rightChars="50"/>
              <w:jc w:val="center"/>
              <w:rPr>
                <w:rFonts w:ascii="宋体" w:cs="宋体"/>
                <w:b/>
                <w:bCs/>
              </w:rPr>
            </w:pPr>
            <w:r>
              <w:rPr>
                <w:rFonts w:hint="eastAsia" w:ascii="宋体" w:hAnsi="宋体" w:cs="宋体"/>
                <w:b/>
                <w:bCs/>
              </w:rPr>
              <w:t>指标解释</w:t>
            </w:r>
          </w:p>
        </w:tc>
        <w:tc>
          <w:tcPr>
            <w:tcW w:w="1867" w:type="pct"/>
            <w:tcMar>
              <w:top w:w="10" w:type="dxa"/>
              <w:left w:w="10" w:type="dxa"/>
              <w:bottom w:w="0" w:type="dxa"/>
              <w:right w:w="10" w:type="dxa"/>
            </w:tcMar>
            <w:vAlign w:val="center"/>
          </w:tcPr>
          <w:p w14:paraId="03C4E737">
            <w:pPr>
              <w:spacing w:line="240" w:lineRule="exact"/>
              <w:ind w:left="105" w:leftChars="50" w:right="105" w:rightChars="50"/>
              <w:jc w:val="center"/>
              <w:rPr>
                <w:rFonts w:ascii="宋体" w:cs="宋体"/>
                <w:b/>
                <w:bCs/>
              </w:rPr>
            </w:pPr>
            <w:r>
              <w:rPr>
                <w:rFonts w:hint="eastAsia" w:ascii="宋体" w:hAnsi="宋体" w:cs="宋体"/>
                <w:b/>
                <w:bCs/>
              </w:rPr>
              <w:t>指标说明</w:t>
            </w:r>
          </w:p>
        </w:tc>
      </w:tr>
      <w:tr w14:paraId="5E28E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92" w:hRule="atLeast"/>
          <w:jc w:val="center"/>
        </w:trPr>
        <w:tc>
          <w:tcPr>
            <w:tcW w:w="307" w:type="pct"/>
            <w:vMerge w:val="restart"/>
            <w:noWrap/>
            <w:tcMar>
              <w:top w:w="10" w:type="dxa"/>
              <w:left w:w="10" w:type="dxa"/>
              <w:bottom w:w="0" w:type="dxa"/>
              <w:right w:w="10" w:type="dxa"/>
            </w:tcMar>
            <w:textDirection w:val="tbRlV"/>
            <w:vAlign w:val="center"/>
          </w:tcPr>
          <w:p w14:paraId="6875E52D">
            <w:pPr>
              <w:spacing w:line="240" w:lineRule="exact"/>
              <w:jc w:val="center"/>
              <w:rPr>
                <w:rFonts w:ascii="宋体" w:cs="宋体"/>
              </w:rPr>
            </w:pPr>
            <w:r>
              <w:rPr>
                <w:rFonts w:hint="eastAsia" w:ascii="宋体" w:hAnsi="宋体" w:cs="宋体"/>
              </w:rPr>
              <w:t>投入（</w:t>
            </w:r>
            <w:r>
              <w:rPr>
                <w:rFonts w:ascii="宋体" w:hAnsi="宋体" w:cs="宋体"/>
              </w:rPr>
              <w:t>20</w:t>
            </w:r>
            <w:r>
              <w:rPr>
                <w:rFonts w:hint="eastAsia" w:ascii="宋体" w:hAnsi="宋体" w:cs="宋体"/>
              </w:rPr>
              <w:t>分）</w:t>
            </w:r>
          </w:p>
        </w:tc>
        <w:tc>
          <w:tcPr>
            <w:tcW w:w="375" w:type="pct"/>
            <w:vMerge w:val="restart"/>
            <w:tcMar>
              <w:top w:w="10" w:type="dxa"/>
              <w:left w:w="10" w:type="dxa"/>
              <w:bottom w:w="0" w:type="dxa"/>
              <w:right w:w="10" w:type="dxa"/>
            </w:tcMar>
            <w:vAlign w:val="center"/>
          </w:tcPr>
          <w:p w14:paraId="70DD8BB8">
            <w:pPr>
              <w:spacing w:line="240" w:lineRule="exact"/>
              <w:jc w:val="center"/>
              <w:rPr>
                <w:rFonts w:ascii="宋体" w:hAnsi="宋体" w:cs="宋体"/>
              </w:rPr>
            </w:pPr>
            <w:r>
              <w:rPr>
                <w:rFonts w:hint="eastAsia" w:ascii="宋体" w:hAnsi="宋体" w:cs="宋体"/>
              </w:rPr>
              <w:t>目标</w:t>
            </w:r>
          </w:p>
          <w:p w14:paraId="3BACFA6E">
            <w:pPr>
              <w:spacing w:line="240" w:lineRule="exact"/>
              <w:jc w:val="center"/>
              <w:rPr>
                <w:rFonts w:ascii="宋体" w:cs="宋体"/>
              </w:rPr>
            </w:pPr>
            <w:r>
              <w:rPr>
                <w:rFonts w:hint="eastAsia" w:ascii="宋体" w:hAnsi="宋体" w:cs="宋体"/>
              </w:rPr>
              <w:t>设定（</w:t>
            </w:r>
            <w:r>
              <w:rPr>
                <w:rFonts w:ascii="宋体" w:hAnsi="宋体" w:cs="宋体"/>
              </w:rPr>
              <w:t>5</w:t>
            </w:r>
            <w:r>
              <w:rPr>
                <w:rFonts w:hint="eastAsia" w:ascii="宋体" w:hAnsi="宋体" w:cs="宋体"/>
              </w:rPr>
              <w:t>分）</w:t>
            </w:r>
          </w:p>
        </w:tc>
        <w:tc>
          <w:tcPr>
            <w:tcW w:w="500" w:type="pct"/>
            <w:tcMar>
              <w:top w:w="10" w:type="dxa"/>
              <w:left w:w="10" w:type="dxa"/>
              <w:bottom w:w="0" w:type="dxa"/>
              <w:right w:w="10" w:type="dxa"/>
            </w:tcMar>
            <w:vAlign w:val="center"/>
          </w:tcPr>
          <w:p w14:paraId="64C7319A">
            <w:pPr>
              <w:spacing w:line="240" w:lineRule="exact"/>
              <w:jc w:val="center"/>
              <w:rPr>
                <w:rFonts w:ascii="宋体" w:cs="宋体"/>
              </w:rPr>
            </w:pPr>
            <w:r>
              <w:rPr>
                <w:rFonts w:hint="eastAsia" w:ascii="宋体" w:hAnsi="宋体" w:cs="宋体"/>
              </w:rPr>
              <w:t>绩效目标</w:t>
            </w:r>
          </w:p>
          <w:p w14:paraId="2E4D6DCA">
            <w:pPr>
              <w:spacing w:line="240" w:lineRule="exact"/>
              <w:jc w:val="center"/>
              <w:rPr>
                <w:rFonts w:ascii="宋体" w:cs="宋体"/>
              </w:rPr>
            </w:pPr>
            <w:r>
              <w:rPr>
                <w:rFonts w:hint="eastAsia" w:ascii="宋体" w:hAnsi="宋体" w:cs="宋体"/>
              </w:rPr>
              <w:t>合理性（</w:t>
            </w:r>
            <w:r>
              <w:rPr>
                <w:rFonts w:ascii="宋体" w:hAnsi="宋体" w:cs="宋体"/>
              </w:rPr>
              <w:t>2</w:t>
            </w:r>
            <w:r>
              <w:rPr>
                <w:rFonts w:hint="eastAsia" w:ascii="宋体" w:hAnsi="宋体" w:cs="宋体"/>
              </w:rPr>
              <w:t>分）</w:t>
            </w:r>
          </w:p>
        </w:tc>
        <w:tc>
          <w:tcPr>
            <w:tcW w:w="375" w:type="pct"/>
            <w:tcMar>
              <w:top w:w="10" w:type="dxa"/>
              <w:left w:w="10" w:type="dxa"/>
              <w:bottom w:w="0" w:type="dxa"/>
              <w:right w:w="10" w:type="dxa"/>
            </w:tcMar>
          </w:tcPr>
          <w:p w14:paraId="6029C604">
            <w:pPr>
              <w:tabs>
                <w:tab w:val="left" w:pos="2604"/>
              </w:tabs>
              <w:spacing w:line="240" w:lineRule="exact"/>
              <w:ind w:left="105" w:leftChars="50" w:right="105" w:rightChars="50" w:firstLine="96" w:firstLineChars="46"/>
              <w:rPr>
                <w:rFonts w:ascii="宋体" w:cs="宋体"/>
              </w:rPr>
            </w:pPr>
          </w:p>
          <w:p w14:paraId="113A473B">
            <w:pPr>
              <w:tabs>
                <w:tab w:val="left" w:pos="2604"/>
              </w:tabs>
              <w:spacing w:line="240" w:lineRule="exact"/>
              <w:ind w:left="105" w:leftChars="50" w:right="105" w:rightChars="50" w:firstLine="96" w:firstLineChars="46"/>
              <w:rPr>
                <w:rFonts w:ascii="宋体" w:cs="宋体"/>
              </w:rPr>
            </w:pPr>
          </w:p>
          <w:p w14:paraId="174CCDBE">
            <w:pPr>
              <w:tabs>
                <w:tab w:val="left" w:pos="2604"/>
              </w:tabs>
              <w:spacing w:line="240" w:lineRule="exact"/>
              <w:ind w:left="105" w:leftChars="50" w:right="105" w:rightChars="50" w:firstLine="96" w:firstLineChars="46"/>
              <w:rPr>
                <w:rFonts w:ascii="宋体" w:cs="宋体"/>
              </w:rPr>
            </w:pPr>
          </w:p>
          <w:p w14:paraId="4674DFEC">
            <w:pPr>
              <w:tabs>
                <w:tab w:val="left" w:pos="2604"/>
              </w:tabs>
              <w:spacing w:line="240" w:lineRule="exact"/>
              <w:ind w:left="105" w:leftChars="50" w:right="105" w:rightChars="50" w:firstLine="96" w:firstLineChars="46"/>
              <w:rPr>
                <w:rFonts w:ascii="宋体" w:cs="宋体"/>
              </w:rPr>
            </w:pPr>
            <w:r>
              <w:rPr>
                <w:rFonts w:hint="eastAsia" w:ascii="宋体" w:cs="宋体"/>
              </w:rPr>
              <w:t>2</w:t>
            </w:r>
          </w:p>
        </w:tc>
        <w:tc>
          <w:tcPr>
            <w:tcW w:w="1576" w:type="pct"/>
            <w:tcMar>
              <w:top w:w="10" w:type="dxa"/>
              <w:left w:w="10" w:type="dxa"/>
              <w:bottom w:w="0" w:type="dxa"/>
              <w:right w:w="10" w:type="dxa"/>
            </w:tcMar>
            <w:vAlign w:val="center"/>
          </w:tcPr>
          <w:p w14:paraId="69976101">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部门所设立的整体绩效目标依据是否充分，是否符合客观实际，用以反映和考核部门整体绩效目标与部门履职、年度工作任务的相符性情况。</w:t>
            </w:r>
          </w:p>
        </w:tc>
        <w:tc>
          <w:tcPr>
            <w:tcW w:w="1867" w:type="pct"/>
            <w:tcMar>
              <w:top w:w="10" w:type="dxa"/>
              <w:left w:w="10" w:type="dxa"/>
              <w:bottom w:w="0" w:type="dxa"/>
              <w:right w:w="10" w:type="dxa"/>
            </w:tcMar>
            <w:vAlign w:val="center"/>
          </w:tcPr>
          <w:p w14:paraId="3A2F9473">
            <w:pPr>
              <w:spacing w:line="240" w:lineRule="exact"/>
              <w:ind w:left="105" w:leftChars="50" w:right="105" w:rightChars="50"/>
              <w:rPr>
                <w:rFonts w:ascii="宋体" w:hAnsi="宋体" w:cs="宋体"/>
              </w:rPr>
            </w:pPr>
            <w:r>
              <w:rPr>
                <w:rFonts w:hint="eastAsia" w:ascii="宋体" w:hAnsi="宋体" w:cs="宋体"/>
              </w:rPr>
              <w:t>评价要点：</w:t>
            </w:r>
          </w:p>
          <w:p w14:paraId="15A46F63">
            <w:pPr>
              <w:spacing w:line="240" w:lineRule="exact"/>
              <w:ind w:left="105" w:leftChars="50" w:right="105" w:rightChars="50"/>
              <w:rPr>
                <w:rFonts w:ascii="宋体" w:hAnsi="宋体" w:cs="宋体"/>
              </w:rPr>
            </w:pPr>
            <w:r>
              <w:rPr>
                <w:rFonts w:hint="eastAsia" w:ascii="宋体" w:hAnsi="宋体" w:cs="宋体"/>
              </w:rPr>
              <w:t>①是否符合国家法律法规、国民经济和社会发展总体规划；</w:t>
            </w:r>
          </w:p>
          <w:p w14:paraId="4EADA2AE">
            <w:pPr>
              <w:spacing w:line="240" w:lineRule="exact"/>
              <w:ind w:left="105" w:leftChars="50" w:right="105" w:rightChars="50"/>
              <w:rPr>
                <w:rFonts w:ascii="宋体" w:hAnsi="宋体" w:cs="宋体"/>
              </w:rPr>
            </w:pPr>
            <w:r>
              <w:rPr>
                <w:rFonts w:hint="eastAsia" w:ascii="宋体" w:hAnsi="宋体" w:cs="宋体"/>
              </w:rPr>
              <w:t>②是否符合部门“三定”方案确定的职责；</w:t>
            </w:r>
          </w:p>
          <w:p w14:paraId="0A864086">
            <w:pPr>
              <w:spacing w:line="240" w:lineRule="exact"/>
              <w:ind w:left="105" w:leftChars="50" w:right="105" w:rightChars="50"/>
              <w:rPr>
                <w:rFonts w:ascii="宋体" w:cs="宋体"/>
              </w:rPr>
            </w:pPr>
            <w:r>
              <w:rPr>
                <w:rFonts w:hint="eastAsia" w:ascii="宋体" w:hAnsi="宋体" w:cs="宋体"/>
              </w:rPr>
              <w:t>③是否符合部门制定的中长期实施规划。</w:t>
            </w:r>
          </w:p>
        </w:tc>
      </w:tr>
      <w:tr w14:paraId="4F3FD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37" w:hRule="atLeast"/>
          <w:jc w:val="center"/>
        </w:trPr>
        <w:tc>
          <w:tcPr>
            <w:tcW w:w="307" w:type="pct"/>
            <w:vMerge w:val="continue"/>
            <w:vAlign w:val="center"/>
          </w:tcPr>
          <w:p w14:paraId="28DA3851">
            <w:pPr>
              <w:spacing w:line="240" w:lineRule="exact"/>
              <w:rPr>
                <w:rFonts w:ascii="宋体" w:cs="宋体"/>
              </w:rPr>
            </w:pPr>
          </w:p>
        </w:tc>
        <w:tc>
          <w:tcPr>
            <w:tcW w:w="375" w:type="pct"/>
            <w:vMerge w:val="continue"/>
            <w:vAlign w:val="center"/>
          </w:tcPr>
          <w:p w14:paraId="7FDEECC0">
            <w:pPr>
              <w:spacing w:line="240" w:lineRule="exact"/>
              <w:rPr>
                <w:rFonts w:ascii="宋体" w:cs="宋体"/>
              </w:rPr>
            </w:pPr>
          </w:p>
        </w:tc>
        <w:tc>
          <w:tcPr>
            <w:tcW w:w="500" w:type="pct"/>
            <w:tcMar>
              <w:top w:w="10" w:type="dxa"/>
              <w:left w:w="10" w:type="dxa"/>
              <w:bottom w:w="0" w:type="dxa"/>
              <w:right w:w="10" w:type="dxa"/>
            </w:tcMar>
            <w:vAlign w:val="center"/>
          </w:tcPr>
          <w:p w14:paraId="74060329">
            <w:pPr>
              <w:spacing w:line="240" w:lineRule="exact"/>
              <w:jc w:val="center"/>
              <w:rPr>
                <w:rFonts w:ascii="宋体" w:cs="宋体"/>
              </w:rPr>
            </w:pPr>
            <w:r>
              <w:rPr>
                <w:rFonts w:hint="eastAsia" w:ascii="宋体" w:hAnsi="宋体" w:cs="宋体"/>
              </w:rPr>
              <w:t>绩效指标</w:t>
            </w:r>
          </w:p>
          <w:p w14:paraId="31DBA6FE">
            <w:pPr>
              <w:spacing w:line="240" w:lineRule="exact"/>
              <w:jc w:val="center"/>
              <w:rPr>
                <w:rFonts w:ascii="宋体" w:cs="宋体"/>
              </w:rPr>
            </w:pPr>
            <w:r>
              <w:rPr>
                <w:rFonts w:hint="eastAsia" w:ascii="宋体" w:hAnsi="宋体" w:cs="宋体"/>
              </w:rPr>
              <w:t>明确性（</w:t>
            </w:r>
            <w:r>
              <w:rPr>
                <w:rFonts w:ascii="宋体" w:hAnsi="宋体" w:cs="宋体"/>
              </w:rPr>
              <w:t>3</w:t>
            </w:r>
            <w:r>
              <w:rPr>
                <w:rFonts w:hint="eastAsia" w:ascii="宋体" w:hAnsi="宋体" w:cs="宋体"/>
              </w:rPr>
              <w:t>分）</w:t>
            </w:r>
          </w:p>
        </w:tc>
        <w:tc>
          <w:tcPr>
            <w:tcW w:w="375" w:type="pct"/>
            <w:tcMar>
              <w:top w:w="10" w:type="dxa"/>
              <w:left w:w="10" w:type="dxa"/>
              <w:bottom w:w="0" w:type="dxa"/>
              <w:right w:w="10" w:type="dxa"/>
            </w:tcMar>
          </w:tcPr>
          <w:p w14:paraId="60DA75FB">
            <w:pPr>
              <w:tabs>
                <w:tab w:val="left" w:pos="2604"/>
              </w:tabs>
              <w:spacing w:line="240" w:lineRule="exact"/>
              <w:ind w:left="105" w:leftChars="50" w:right="105" w:rightChars="50" w:firstLine="96" w:firstLineChars="46"/>
              <w:rPr>
                <w:rFonts w:ascii="宋体" w:cs="宋体"/>
              </w:rPr>
            </w:pPr>
          </w:p>
          <w:p w14:paraId="6E9328B4">
            <w:pPr>
              <w:tabs>
                <w:tab w:val="left" w:pos="2604"/>
              </w:tabs>
              <w:spacing w:line="240" w:lineRule="exact"/>
              <w:ind w:left="105" w:leftChars="50" w:right="105" w:rightChars="50" w:firstLine="96" w:firstLineChars="46"/>
              <w:rPr>
                <w:rFonts w:ascii="宋体" w:cs="宋体"/>
              </w:rPr>
            </w:pPr>
          </w:p>
          <w:p w14:paraId="590A18B4">
            <w:pPr>
              <w:tabs>
                <w:tab w:val="left" w:pos="2604"/>
              </w:tabs>
              <w:spacing w:line="240" w:lineRule="exact"/>
              <w:ind w:left="105" w:leftChars="50" w:right="105" w:rightChars="50" w:firstLine="96" w:firstLineChars="46"/>
              <w:rPr>
                <w:rFonts w:ascii="宋体" w:cs="宋体"/>
              </w:rPr>
            </w:pPr>
          </w:p>
          <w:p w14:paraId="0B8F39FF">
            <w:pPr>
              <w:tabs>
                <w:tab w:val="left" w:pos="2604"/>
              </w:tabs>
              <w:spacing w:line="240" w:lineRule="exact"/>
              <w:ind w:left="105" w:leftChars="50" w:right="105" w:rightChars="50" w:firstLine="96" w:firstLineChars="46"/>
              <w:rPr>
                <w:rFonts w:ascii="宋体" w:cs="宋体"/>
              </w:rPr>
            </w:pPr>
            <w:r>
              <w:rPr>
                <w:rFonts w:hint="eastAsia" w:ascii="宋体" w:cs="宋体"/>
              </w:rPr>
              <w:t>3</w:t>
            </w:r>
          </w:p>
        </w:tc>
        <w:tc>
          <w:tcPr>
            <w:tcW w:w="1576" w:type="pct"/>
            <w:tcMar>
              <w:top w:w="10" w:type="dxa"/>
              <w:left w:w="10" w:type="dxa"/>
              <w:bottom w:w="0" w:type="dxa"/>
              <w:right w:w="10" w:type="dxa"/>
            </w:tcMar>
            <w:vAlign w:val="center"/>
          </w:tcPr>
          <w:p w14:paraId="3E93D37A">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部门依据整体绩效目标所设定的绩效指标是否清晰、细化、可衡量，用以反映和考核部门整体绩效目标的明细化情况。</w:t>
            </w:r>
          </w:p>
        </w:tc>
        <w:tc>
          <w:tcPr>
            <w:tcW w:w="1867" w:type="pct"/>
            <w:tcMar>
              <w:top w:w="10" w:type="dxa"/>
              <w:left w:w="10" w:type="dxa"/>
              <w:bottom w:w="0" w:type="dxa"/>
              <w:right w:w="10" w:type="dxa"/>
            </w:tcMar>
            <w:vAlign w:val="center"/>
          </w:tcPr>
          <w:p w14:paraId="6359AFC0">
            <w:pPr>
              <w:spacing w:line="240" w:lineRule="exact"/>
              <w:ind w:left="105" w:leftChars="50" w:right="105" w:rightChars="50"/>
              <w:rPr>
                <w:rFonts w:ascii="宋体" w:hAnsi="宋体" w:cs="宋体"/>
              </w:rPr>
            </w:pPr>
            <w:r>
              <w:rPr>
                <w:rFonts w:hint="eastAsia" w:ascii="宋体" w:hAnsi="宋体" w:cs="宋体"/>
              </w:rPr>
              <w:t>评价要点：</w:t>
            </w:r>
          </w:p>
          <w:p w14:paraId="77B7694B">
            <w:pPr>
              <w:spacing w:line="240" w:lineRule="exact"/>
              <w:ind w:left="105" w:leftChars="50" w:right="105" w:rightChars="50"/>
              <w:rPr>
                <w:rFonts w:ascii="宋体" w:hAnsi="宋体" w:cs="宋体"/>
              </w:rPr>
            </w:pPr>
            <w:r>
              <w:rPr>
                <w:rFonts w:hint="eastAsia" w:ascii="宋体" w:hAnsi="宋体" w:cs="宋体"/>
              </w:rPr>
              <w:t>①是否将部门整体的绩效目标细化分解为具体的工作任务；</w:t>
            </w:r>
          </w:p>
          <w:p w14:paraId="47DD6448">
            <w:pPr>
              <w:spacing w:line="240" w:lineRule="exact"/>
              <w:ind w:left="105" w:leftChars="50" w:right="105" w:rightChars="50"/>
              <w:rPr>
                <w:rFonts w:ascii="宋体" w:hAnsi="宋体" w:cs="宋体"/>
              </w:rPr>
            </w:pPr>
            <w:r>
              <w:rPr>
                <w:rFonts w:hint="eastAsia" w:ascii="宋体" w:hAnsi="宋体" w:cs="宋体"/>
              </w:rPr>
              <w:t>②是否通过清晰、可衡量的指标值予以体现。③是否与部门年度的任务数或计划数相对应；</w:t>
            </w:r>
          </w:p>
          <w:p w14:paraId="4D54E951">
            <w:pPr>
              <w:spacing w:line="240" w:lineRule="exact"/>
              <w:ind w:left="105" w:leftChars="50" w:right="105" w:rightChars="50"/>
              <w:rPr>
                <w:rFonts w:ascii="宋体" w:cs="宋体"/>
              </w:rPr>
            </w:pPr>
            <w:r>
              <w:rPr>
                <w:rFonts w:hint="eastAsia" w:ascii="宋体" w:hAnsi="宋体" w:cs="宋体"/>
              </w:rPr>
              <w:t>④是否与本年度部门预算资金相匹配。</w:t>
            </w:r>
          </w:p>
        </w:tc>
      </w:tr>
      <w:tr w14:paraId="616C3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31" w:hRule="atLeast"/>
          <w:jc w:val="center"/>
        </w:trPr>
        <w:tc>
          <w:tcPr>
            <w:tcW w:w="307" w:type="pct"/>
            <w:vMerge w:val="continue"/>
            <w:vAlign w:val="center"/>
          </w:tcPr>
          <w:p w14:paraId="31D3E7AC">
            <w:pPr>
              <w:spacing w:line="240" w:lineRule="exact"/>
              <w:rPr>
                <w:rFonts w:ascii="宋体" w:cs="宋体"/>
              </w:rPr>
            </w:pPr>
          </w:p>
        </w:tc>
        <w:tc>
          <w:tcPr>
            <w:tcW w:w="375" w:type="pct"/>
            <w:vMerge w:val="restart"/>
            <w:tcMar>
              <w:top w:w="10" w:type="dxa"/>
              <w:left w:w="10" w:type="dxa"/>
              <w:bottom w:w="0" w:type="dxa"/>
              <w:right w:w="10" w:type="dxa"/>
            </w:tcMar>
            <w:vAlign w:val="center"/>
          </w:tcPr>
          <w:p w14:paraId="5E430E40">
            <w:pPr>
              <w:spacing w:line="240" w:lineRule="exact"/>
              <w:jc w:val="center"/>
              <w:rPr>
                <w:rFonts w:ascii="宋体" w:hAnsi="宋体" w:cs="宋体"/>
              </w:rPr>
            </w:pPr>
            <w:r>
              <w:rPr>
                <w:rFonts w:hint="eastAsia" w:ascii="宋体" w:hAnsi="宋体" w:cs="宋体"/>
              </w:rPr>
              <w:t>预算</w:t>
            </w:r>
          </w:p>
          <w:p w14:paraId="6A66BC48">
            <w:pPr>
              <w:spacing w:line="240" w:lineRule="exact"/>
              <w:jc w:val="center"/>
              <w:rPr>
                <w:rFonts w:ascii="宋体" w:cs="宋体"/>
              </w:rPr>
            </w:pPr>
            <w:r>
              <w:rPr>
                <w:rFonts w:hint="eastAsia" w:ascii="宋体" w:hAnsi="宋体" w:cs="宋体"/>
              </w:rPr>
              <w:t>配置（</w:t>
            </w:r>
            <w:r>
              <w:rPr>
                <w:rFonts w:ascii="宋体" w:hAnsi="宋体" w:cs="宋体"/>
              </w:rPr>
              <w:t>15</w:t>
            </w:r>
            <w:r>
              <w:rPr>
                <w:rFonts w:hint="eastAsia" w:ascii="宋体" w:hAnsi="宋体" w:cs="宋体"/>
              </w:rPr>
              <w:t>分）</w:t>
            </w:r>
          </w:p>
        </w:tc>
        <w:tc>
          <w:tcPr>
            <w:tcW w:w="500" w:type="pct"/>
            <w:tcMar>
              <w:top w:w="10" w:type="dxa"/>
              <w:left w:w="10" w:type="dxa"/>
              <w:bottom w:w="0" w:type="dxa"/>
              <w:right w:w="10" w:type="dxa"/>
            </w:tcMar>
            <w:vAlign w:val="center"/>
          </w:tcPr>
          <w:p w14:paraId="27B94CFA">
            <w:pPr>
              <w:spacing w:line="240" w:lineRule="exact"/>
              <w:jc w:val="center"/>
              <w:rPr>
                <w:rFonts w:ascii="宋体" w:cs="宋体"/>
              </w:rPr>
            </w:pPr>
            <w:r>
              <w:rPr>
                <w:rFonts w:hint="eastAsia" w:ascii="宋体" w:hAnsi="宋体" w:cs="宋体"/>
              </w:rPr>
              <w:t>在职人员</w:t>
            </w:r>
          </w:p>
          <w:p w14:paraId="4C331D27">
            <w:pPr>
              <w:spacing w:line="240" w:lineRule="exact"/>
              <w:jc w:val="center"/>
              <w:rPr>
                <w:rFonts w:ascii="宋体" w:cs="宋体"/>
              </w:rPr>
            </w:pPr>
            <w:r>
              <w:rPr>
                <w:rFonts w:hint="eastAsia" w:ascii="宋体" w:hAnsi="宋体" w:cs="宋体"/>
              </w:rPr>
              <w:t>控制率（</w:t>
            </w:r>
            <w:r>
              <w:rPr>
                <w:rFonts w:ascii="宋体" w:hAnsi="宋体" w:cs="宋体"/>
              </w:rPr>
              <w:t>5</w:t>
            </w:r>
            <w:r>
              <w:rPr>
                <w:rFonts w:hint="eastAsia" w:ascii="宋体" w:hAnsi="宋体" w:cs="宋体"/>
              </w:rPr>
              <w:t>分）</w:t>
            </w:r>
          </w:p>
        </w:tc>
        <w:tc>
          <w:tcPr>
            <w:tcW w:w="375" w:type="pct"/>
            <w:tcMar>
              <w:top w:w="10" w:type="dxa"/>
              <w:left w:w="10" w:type="dxa"/>
              <w:bottom w:w="0" w:type="dxa"/>
              <w:right w:w="10" w:type="dxa"/>
            </w:tcMar>
          </w:tcPr>
          <w:p w14:paraId="7FE144CE">
            <w:pPr>
              <w:tabs>
                <w:tab w:val="left" w:pos="2604"/>
              </w:tabs>
              <w:spacing w:line="240" w:lineRule="exact"/>
              <w:ind w:left="105" w:leftChars="50" w:right="105" w:rightChars="50" w:firstLine="96" w:firstLineChars="46"/>
              <w:rPr>
                <w:rFonts w:ascii="宋体" w:cs="宋体"/>
              </w:rPr>
            </w:pPr>
          </w:p>
          <w:p w14:paraId="41EBC268">
            <w:pPr>
              <w:tabs>
                <w:tab w:val="left" w:pos="2604"/>
              </w:tabs>
              <w:spacing w:line="240" w:lineRule="exact"/>
              <w:ind w:left="105" w:leftChars="50" w:right="105" w:rightChars="50" w:firstLine="96" w:firstLineChars="46"/>
              <w:rPr>
                <w:rFonts w:ascii="宋体" w:cs="宋体"/>
              </w:rPr>
            </w:pPr>
          </w:p>
          <w:p w14:paraId="67574A16">
            <w:pPr>
              <w:tabs>
                <w:tab w:val="left" w:pos="2604"/>
              </w:tabs>
              <w:spacing w:line="240" w:lineRule="exact"/>
              <w:ind w:left="105" w:leftChars="50" w:right="105" w:rightChars="50" w:firstLine="96" w:firstLineChars="46"/>
              <w:rPr>
                <w:rFonts w:ascii="宋体" w:cs="宋体"/>
              </w:rPr>
            </w:pPr>
            <w:r>
              <w:rPr>
                <w:rFonts w:hint="eastAsia" w:ascii="宋体" w:cs="宋体"/>
              </w:rPr>
              <w:t>5</w:t>
            </w:r>
          </w:p>
        </w:tc>
        <w:tc>
          <w:tcPr>
            <w:tcW w:w="1576" w:type="pct"/>
            <w:tcMar>
              <w:top w:w="10" w:type="dxa"/>
              <w:left w:w="10" w:type="dxa"/>
              <w:bottom w:w="0" w:type="dxa"/>
              <w:right w:w="10" w:type="dxa"/>
            </w:tcMar>
            <w:vAlign w:val="center"/>
          </w:tcPr>
          <w:p w14:paraId="45E3CF99">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部门本年度实际在职人员数与编制数的比率，用以反映和考核部门对人员成本的控制程度。</w:t>
            </w:r>
          </w:p>
        </w:tc>
        <w:tc>
          <w:tcPr>
            <w:tcW w:w="1867" w:type="pct"/>
            <w:tcMar>
              <w:top w:w="10" w:type="dxa"/>
              <w:left w:w="10" w:type="dxa"/>
              <w:bottom w:w="0" w:type="dxa"/>
              <w:right w:w="10" w:type="dxa"/>
            </w:tcMar>
            <w:vAlign w:val="center"/>
          </w:tcPr>
          <w:p w14:paraId="3F41CAEB">
            <w:pPr>
              <w:spacing w:line="240" w:lineRule="exact"/>
              <w:ind w:left="105" w:leftChars="50" w:right="105" w:rightChars="50"/>
              <w:rPr>
                <w:rFonts w:ascii="宋体" w:hAnsi="宋体" w:cs="宋体"/>
              </w:rPr>
            </w:pPr>
            <w:r>
              <w:rPr>
                <w:rFonts w:hint="eastAsia" w:ascii="宋体" w:hAnsi="宋体" w:cs="宋体"/>
              </w:rPr>
              <w:t>在职人员控制率</w:t>
            </w:r>
            <w:r>
              <w:rPr>
                <w:rFonts w:ascii="宋体" w:hAnsi="宋体" w:cs="宋体"/>
              </w:rPr>
              <w:t>=</w:t>
            </w:r>
            <w:r>
              <w:rPr>
                <w:rFonts w:hint="eastAsia" w:ascii="宋体" w:hAnsi="宋体" w:cs="宋体"/>
              </w:rPr>
              <w:t>（在职人员数</w:t>
            </w:r>
            <w:r>
              <w:rPr>
                <w:rFonts w:ascii="宋体" w:hAnsi="宋体" w:cs="宋体"/>
              </w:rPr>
              <w:t>/</w:t>
            </w:r>
            <w:r>
              <w:rPr>
                <w:rFonts w:hint="eastAsia" w:ascii="宋体" w:hAnsi="宋体" w:cs="宋体"/>
              </w:rPr>
              <w:t>编制数）×</w:t>
            </w:r>
            <w:r>
              <w:rPr>
                <w:rFonts w:ascii="宋体" w:hAnsi="宋体" w:cs="宋体"/>
              </w:rPr>
              <w:t>100%</w:t>
            </w:r>
            <w:r>
              <w:rPr>
                <w:rFonts w:hint="eastAsia" w:ascii="宋体" w:hAnsi="宋体" w:cs="宋体"/>
              </w:rPr>
              <w:t>。</w:t>
            </w:r>
          </w:p>
          <w:p w14:paraId="1B26B51F">
            <w:pPr>
              <w:spacing w:line="240" w:lineRule="exact"/>
              <w:ind w:left="105" w:leftChars="50" w:right="105" w:rightChars="50"/>
              <w:rPr>
                <w:rFonts w:ascii="宋体" w:hAnsi="宋体" w:cs="宋体"/>
              </w:rPr>
            </w:pPr>
            <w:r>
              <w:rPr>
                <w:rFonts w:hint="eastAsia" w:ascii="宋体" w:hAnsi="宋体" w:cs="宋体"/>
              </w:rPr>
              <w:t>在职人员数：部门实际在职人数，以财政部确定的部门决算编制口径为准。</w:t>
            </w:r>
          </w:p>
          <w:p w14:paraId="592A41EC">
            <w:pPr>
              <w:spacing w:line="240" w:lineRule="exact"/>
              <w:ind w:left="105" w:leftChars="50" w:right="105" w:rightChars="50"/>
              <w:rPr>
                <w:rFonts w:ascii="宋体" w:cs="宋体"/>
              </w:rPr>
            </w:pPr>
            <w:r>
              <w:rPr>
                <w:rFonts w:hint="eastAsia" w:ascii="宋体" w:hAnsi="宋体" w:cs="宋体"/>
              </w:rPr>
              <w:t>编制数：机构编制部门核定批复的部门的人员编制数。</w:t>
            </w:r>
          </w:p>
        </w:tc>
      </w:tr>
      <w:tr w14:paraId="06683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30" w:hRule="atLeast"/>
          <w:jc w:val="center"/>
        </w:trPr>
        <w:tc>
          <w:tcPr>
            <w:tcW w:w="307" w:type="pct"/>
            <w:vMerge w:val="continue"/>
            <w:vAlign w:val="center"/>
          </w:tcPr>
          <w:p w14:paraId="6F8ECB01">
            <w:pPr>
              <w:spacing w:line="240" w:lineRule="exact"/>
              <w:rPr>
                <w:rFonts w:ascii="宋体" w:cs="宋体"/>
              </w:rPr>
            </w:pPr>
          </w:p>
        </w:tc>
        <w:tc>
          <w:tcPr>
            <w:tcW w:w="375" w:type="pct"/>
            <w:vMerge w:val="continue"/>
            <w:vAlign w:val="center"/>
          </w:tcPr>
          <w:p w14:paraId="554D47E2">
            <w:pPr>
              <w:spacing w:line="240" w:lineRule="exact"/>
              <w:rPr>
                <w:rFonts w:ascii="宋体" w:cs="宋体"/>
              </w:rPr>
            </w:pPr>
          </w:p>
        </w:tc>
        <w:tc>
          <w:tcPr>
            <w:tcW w:w="500" w:type="pct"/>
            <w:tcMar>
              <w:top w:w="10" w:type="dxa"/>
              <w:left w:w="10" w:type="dxa"/>
              <w:bottom w:w="0" w:type="dxa"/>
              <w:right w:w="10" w:type="dxa"/>
            </w:tcMar>
            <w:vAlign w:val="center"/>
          </w:tcPr>
          <w:p w14:paraId="008C60CF">
            <w:pPr>
              <w:spacing w:line="240" w:lineRule="exact"/>
              <w:jc w:val="center"/>
              <w:rPr>
                <w:rFonts w:ascii="宋体" w:cs="宋体"/>
              </w:rPr>
            </w:pPr>
            <w:r>
              <w:rPr>
                <w:rFonts w:hint="eastAsia" w:ascii="宋体" w:hAnsi="宋体" w:cs="宋体"/>
              </w:rPr>
              <w:t>“三公经费”</w:t>
            </w:r>
          </w:p>
          <w:p w14:paraId="51692B02">
            <w:pPr>
              <w:spacing w:line="240" w:lineRule="exact"/>
              <w:jc w:val="center"/>
              <w:rPr>
                <w:rFonts w:ascii="宋体" w:cs="宋体"/>
              </w:rPr>
            </w:pPr>
            <w:r>
              <w:rPr>
                <w:rFonts w:hint="eastAsia" w:ascii="宋体" w:hAnsi="宋体" w:cs="宋体"/>
              </w:rPr>
              <w:t>变动率（</w:t>
            </w:r>
            <w:r>
              <w:rPr>
                <w:rFonts w:ascii="宋体" w:hAnsi="宋体" w:cs="宋体"/>
              </w:rPr>
              <w:t>5</w:t>
            </w:r>
            <w:r>
              <w:rPr>
                <w:rFonts w:hint="eastAsia" w:ascii="宋体" w:hAnsi="宋体" w:cs="宋体"/>
              </w:rPr>
              <w:t>分）</w:t>
            </w:r>
          </w:p>
        </w:tc>
        <w:tc>
          <w:tcPr>
            <w:tcW w:w="375" w:type="pct"/>
            <w:tcMar>
              <w:top w:w="10" w:type="dxa"/>
              <w:left w:w="10" w:type="dxa"/>
              <w:bottom w:w="0" w:type="dxa"/>
              <w:right w:w="10" w:type="dxa"/>
            </w:tcMar>
          </w:tcPr>
          <w:p w14:paraId="3BF563AA">
            <w:pPr>
              <w:tabs>
                <w:tab w:val="left" w:pos="2604"/>
              </w:tabs>
              <w:spacing w:line="240" w:lineRule="exact"/>
              <w:ind w:left="105" w:leftChars="50" w:right="105" w:rightChars="50" w:firstLine="96" w:firstLineChars="46"/>
              <w:rPr>
                <w:rFonts w:ascii="宋体" w:cs="宋体"/>
              </w:rPr>
            </w:pPr>
          </w:p>
          <w:p w14:paraId="469584B3">
            <w:pPr>
              <w:tabs>
                <w:tab w:val="left" w:pos="2604"/>
              </w:tabs>
              <w:spacing w:line="240" w:lineRule="exact"/>
              <w:ind w:left="105" w:leftChars="50" w:right="105" w:rightChars="50" w:firstLine="96" w:firstLineChars="46"/>
              <w:rPr>
                <w:rFonts w:ascii="宋体" w:cs="宋体"/>
              </w:rPr>
            </w:pPr>
          </w:p>
          <w:p w14:paraId="6892DB99">
            <w:pPr>
              <w:tabs>
                <w:tab w:val="left" w:pos="2604"/>
              </w:tabs>
              <w:spacing w:line="240" w:lineRule="exact"/>
              <w:ind w:left="105" w:leftChars="50" w:right="105" w:rightChars="50" w:firstLine="96" w:firstLineChars="46"/>
              <w:rPr>
                <w:rFonts w:ascii="宋体" w:cs="宋体"/>
              </w:rPr>
            </w:pPr>
          </w:p>
          <w:p w14:paraId="0E5D5B58">
            <w:pPr>
              <w:tabs>
                <w:tab w:val="left" w:pos="2604"/>
              </w:tabs>
              <w:spacing w:line="240" w:lineRule="exact"/>
              <w:ind w:left="105" w:leftChars="50" w:right="105" w:rightChars="50" w:firstLine="96" w:firstLineChars="46"/>
              <w:rPr>
                <w:rFonts w:ascii="宋体" w:cs="宋体"/>
              </w:rPr>
            </w:pPr>
            <w:r>
              <w:rPr>
                <w:rFonts w:hint="eastAsia" w:ascii="宋体" w:cs="宋体"/>
              </w:rPr>
              <w:t>5</w:t>
            </w:r>
          </w:p>
        </w:tc>
        <w:tc>
          <w:tcPr>
            <w:tcW w:w="1576" w:type="pct"/>
            <w:tcMar>
              <w:top w:w="10" w:type="dxa"/>
              <w:left w:w="10" w:type="dxa"/>
              <w:bottom w:w="0" w:type="dxa"/>
              <w:right w:w="10" w:type="dxa"/>
            </w:tcMar>
            <w:vAlign w:val="center"/>
          </w:tcPr>
          <w:p w14:paraId="41143804">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部门本年度“三公经费”预算数与上年度“三公经费”预算数的变动比率，用以反映和考核部门对控制重点行政成本的努力程度。</w:t>
            </w:r>
          </w:p>
        </w:tc>
        <w:tc>
          <w:tcPr>
            <w:tcW w:w="1867" w:type="pct"/>
            <w:tcMar>
              <w:top w:w="10" w:type="dxa"/>
              <w:left w:w="10" w:type="dxa"/>
              <w:bottom w:w="0" w:type="dxa"/>
              <w:right w:w="10" w:type="dxa"/>
            </w:tcMar>
            <w:vAlign w:val="center"/>
          </w:tcPr>
          <w:p w14:paraId="25CB3904">
            <w:pPr>
              <w:spacing w:line="240" w:lineRule="exact"/>
              <w:ind w:left="105" w:leftChars="50" w:right="105" w:rightChars="50"/>
              <w:rPr>
                <w:rFonts w:ascii="宋体" w:hAnsi="宋体" w:cs="宋体"/>
              </w:rPr>
            </w:pPr>
            <w:r>
              <w:rPr>
                <w:rFonts w:hint="eastAsia" w:ascii="宋体" w:hAnsi="宋体" w:cs="宋体"/>
              </w:rPr>
              <w:t>“三公经费”变动率</w:t>
            </w:r>
            <w:r>
              <w:rPr>
                <w:rFonts w:ascii="宋体" w:hAnsi="宋体" w:cs="宋体"/>
              </w:rPr>
              <w:t>=[</w:t>
            </w:r>
            <w:r>
              <w:rPr>
                <w:rFonts w:hint="eastAsia" w:ascii="宋体" w:hAnsi="宋体" w:cs="宋体"/>
              </w:rPr>
              <w:t>（本年度“三公经费”总额</w:t>
            </w:r>
            <w:r>
              <w:rPr>
                <w:rFonts w:ascii="宋体" w:hAnsi="宋体" w:cs="宋体"/>
              </w:rPr>
              <w:t>-</w:t>
            </w:r>
            <w:r>
              <w:rPr>
                <w:rFonts w:hint="eastAsia" w:ascii="宋体" w:hAnsi="宋体" w:cs="宋体"/>
              </w:rPr>
              <w:t>上年度“三公经费”总额）</w:t>
            </w:r>
            <w:r>
              <w:rPr>
                <w:rFonts w:ascii="宋体" w:hAnsi="宋体" w:cs="宋体"/>
              </w:rPr>
              <w:t>/</w:t>
            </w:r>
            <w:r>
              <w:rPr>
                <w:rFonts w:hint="eastAsia" w:ascii="宋体" w:hAnsi="宋体" w:cs="宋体"/>
              </w:rPr>
              <w:t>上年度“三公经费”总额</w:t>
            </w:r>
            <w:r>
              <w:rPr>
                <w:rFonts w:ascii="宋体" w:hAnsi="宋体" w:cs="宋体"/>
              </w:rPr>
              <w:t>]</w:t>
            </w:r>
            <w:r>
              <w:rPr>
                <w:rFonts w:hint="eastAsia" w:ascii="宋体" w:hAnsi="宋体" w:cs="宋体"/>
              </w:rPr>
              <w:t>×</w:t>
            </w:r>
            <w:r>
              <w:rPr>
                <w:rFonts w:ascii="宋体" w:hAnsi="宋体" w:cs="宋体"/>
              </w:rPr>
              <w:t>100%</w:t>
            </w:r>
            <w:r>
              <w:rPr>
                <w:rFonts w:hint="eastAsia" w:ascii="宋体" w:hAnsi="宋体" w:cs="宋体"/>
              </w:rPr>
              <w:t>。</w:t>
            </w:r>
          </w:p>
          <w:p w14:paraId="2CE96442">
            <w:pPr>
              <w:spacing w:line="240" w:lineRule="exact"/>
              <w:ind w:left="105" w:leftChars="50" w:right="105" w:rightChars="50"/>
              <w:rPr>
                <w:rFonts w:ascii="宋体" w:cs="宋体"/>
              </w:rPr>
            </w:pPr>
            <w:r>
              <w:rPr>
                <w:rFonts w:hint="eastAsia" w:ascii="宋体" w:hAnsi="宋体" w:cs="宋体"/>
              </w:rPr>
              <w:t>“三公经费”：年度预算安排的因公出国（境）费、公务车辆购置及运行费和公务招待费。</w:t>
            </w:r>
          </w:p>
        </w:tc>
      </w:tr>
      <w:tr w14:paraId="366BE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10" w:hRule="atLeast"/>
          <w:jc w:val="center"/>
        </w:trPr>
        <w:tc>
          <w:tcPr>
            <w:tcW w:w="307" w:type="pct"/>
            <w:vMerge w:val="continue"/>
            <w:vAlign w:val="center"/>
          </w:tcPr>
          <w:p w14:paraId="16864C9A">
            <w:pPr>
              <w:spacing w:line="240" w:lineRule="exact"/>
              <w:rPr>
                <w:rFonts w:ascii="宋体" w:cs="宋体"/>
              </w:rPr>
            </w:pPr>
          </w:p>
        </w:tc>
        <w:tc>
          <w:tcPr>
            <w:tcW w:w="375" w:type="pct"/>
            <w:vMerge w:val="continue"/>
            <w:vAlign w:val="center"/>
          </w:tcPr>
          <w:p w14:paraId="5134F9B9">
            <w:pPr>
              <w:spacing w:line="240" w:lineRule="exact"/>
              <w:rPr>
                <w:rFonts w:ascii="宋体" w:cs="宋体"/>
              </w:rPr>
            </w:pPr>
          </w:p>
        </w:tc>
        <w:tc>
          <w:tcPr>
            <w:tcW w:w="500" w:type="pct"/>
            <w:tcMar>
              <w:top w:w="10" w:type="dxa"/>
              <w:left w:w="10" w:type="dxa"/>
              <w:bottom w:w="0" w:type="dxa"/>
              <w:right w:w="10" w:type="dxa"/>
            </w:tcMar>
            <w:vAlign w:val="center"/>
          </w:tcPr>
          <w:p w14:paraId="3F6139BB">
            <w:pPr>
              <w:spacing w:line="240" w:lineRule="exact"/>
              <w:jc w:val="center"/>
              <w:rPr>
                <w:rFonts w:ascii="宋体" w:cs="宋体"/>
              </w:rPr>
            </w:pPr>
            <w:r>
              <w:rPr>
                <w:rFonts w:hint="eastAsia" w:ascii="宋体" w:hAnsi="宋体" w:cs="宋体"/>
              </w:rPr>
              <w:t>重点支出</w:t>
            </w:r>
          </w:p>
          <w:p w14:paraId="273128A2">
            <w:pPr>
              <w:spacing w:line="240" w:lineRule="exact"/>
              <w:jc w:val="center"/>
              <w:rPr>
                <w:rFonts w:ascii="宋体" w:cs="宋体"/>
              </w:rPr>
            </w:pPr>
            <w:r>
              <w:rPr>
                <w:rFonts w:hint="eastAsia" w:ascii="宋体" w:hAnsi="宋体" w:cs="宋体"/>
              </w:rPr>
              <w:t>安排率（</w:t>
            </w:r>
            <w:r>
              <w:rPr>
                <w:rFonts w:ascii="宋体" w:hAnsi="宋体" w:cs="宋体"/>
              </w:rPr>
              <w:t>5</w:t>
            </w:r>
            <w:r>
              <w:rPr>
                <w:rFonts w:hint="eastAsia" w:ascii="宋体" w:hAnsi="宋体" w:cs="宋体"/>
              </w:rPr>
              <w:t>分）</w:t>
            </w:r>
          </w:p>
        </w:tc>
        <w:tc>
          <w:tcPr>
            <w:tcW w:w="375" w:type="pct"/>
            <w:tcMar>
              <w:top w:w="10" w:type="dxa"/>
              <w:left w:w="10" w:type="dxa"/>
              <w:bottom w:w="0" w:type="dxa"/>
              <w:right w:w="10" w:type="dxa"/>
            </w:tcMar>
          </w:tcPr>
          <w:p w14:paraId="0AF7A222">
            <w:pPr>
              <w:tabs>
                <w:tab w:val="left" w:pos="2604"/>
              </w:tabs>
              <w:spacing w:line="240" w:lineRule="exact"/>
              <w:ind w:left="105" w:leftChars="50" w:right="105" w:rightChars="50" w:firstLine="96" w:firstLineChars="46"/>
              <w:rPr>
                <w:rFonts w:ascii="宋体" w:cs="宋体"/>
              </w:rPr>
            </w:pPr>
          </w:p>
          <w:p w14:paraId="6E46CF7A">
            <w:pPr>
              <w:tabs>
                <w:tab w:val="left" w:pos="2604"/>
              </w:tabs>
              <w:spacing w:line="240" w:lineRule="exact"/>
              <w:ind w:left="105" w:leftChars="50" w:right="105" w:rightChars="50" w:firstLine="96" w:firstLineChars="46"/>
              <w:rPr>
                <w:rFonts w:ascii="宋体" w:cs="宋体"/>
              </w:rPr>
            </w:pPr>
          </w:p>
          <w:p w14:paraId="3B3D3367">
            <w:pPr>
              <w:tabs>
                <w:tab w:val="left" w:pos="2604"/>
              </w:tabs>
              <w:spacing w:line="240" w:lineRule="exact"/>
              <w:ind w:left="105" w:leftChars="50" w:right="105" w:rightChars="50" w:firstLine="96" w:firstLineChars="46"/>
              <w:rPr>
                <w:rFonts w:ascii="宋体" w:cs="宋体"/>
              </w:rPr>
            </w:pPr>
          </w:p>
          <w:p w14:paraId="71EC5D0E">
            <w:pPr>
              <w:tabs>
                <w:tab w:val="left" w:pos="2604"/>
              </w:tabs>
              <w:spacing w:line="240" w:lineRule="exact"/>
              <w:ind w:left="105" w:leftChars="50" w:right="105" w:rightChars="50" w:firstLine="96" w:firstLineChars="46"/>
              <w:rPr>
                <w:rFonts w:ascii="宋体" w:cs="宋体"/>
              </w:rPr>
            </w:pPr>
          </w:p>
          <w:p w14:paraId="29843AA3">
            <w:pPr>
              <w:tabs>
                <w:tab w:val="left" w:pos="2604"/>
              </w:tabs>
              <w:spacing w:line="240" w:lineRule="exact"/>
              <w:ind w:left="105" w:leftChars="50" w:right="105" w:rightChars="50" w:firstLine="96" w:firstLineChars="46"/>
              <w:rPr>
                <w:rFonts w:hint="eastAsia" w:ascii="宋体" w:cs="宋体"/>
              </w:rPr>
            </w:pPr>
            <w:r>
              <w:rPr>
                <w:rFonts w:hint="eastAsia" w:ascii="宋体" w:cs="宋体"/>
              </w:rPr>
              <w:t>5</w:t>
            </w:r>
          </w:p>
          <w:p w14:paraId="08789C43">
            <w:pPr>
              <w:tabs>
                <w:tab w:val="left" w:pos="2604"/>
              </w:tabs>
              <w:spacing w:line="240" w:lineRule="exact"/>
              <w:ind w:left="105" w:leftChars="50" w:right="105" w:rightChars="50" w:firstLine="96" w:firstLineChars="46"/>
              <w:rPr>
                <w:rFonts w:hint="eastAsia" w:ascii="宋体" w:cs="宋体"/>
              </w:rPr>
            </w:pPr>
          </w:p>
          <w:p w14:paraId="5880FA61">
            <w:pPr>
              <w:tabs>
                <w:tab w:val="left" w:pos="2604"/>
              </w:tabs>
              <w:spacing w:line="240" w:lineRule="exact"/>
              <w:ind w:left="105" w:leftChars="50" w:right="105" w:rightChars="50" w:firstLine="96" w:firstLineChars="46"/>
              <w:rPr>
                <w:rFonts w:hint="eastAsia" w:ascii="宋体" w:cs="宋体"/>
              </w:rPr>
            </w:pPr>
          </w:p>
          <w:p w14:paraId="0102214B">
            <w:pPr>
              <w:tabs>
                <w:tab w:val="left" w:pos="2604"/>
              </w:tabs>
              <w:spacing w:line="240" w:lineRule="exact"/>
              <w:ind w:left="105" w:leftChars="50" w:right="105" w:rightChars="50" w:firstLine="96" w:firstLineChars="46"/>
              <w:rPr>
                <w:rFonts w:hint="eastAsia" w:ascii="宋体" w:cs="宋体"/>
              </w:rPr>
            </w:pPr>
          </w:p>
          <w:p w14:paraId="42620F33">
            <w:pPr>
              <w:tabs>
                <w:tab w:val="left" w:pos="2604"/>
              </w:tabs>
              <w:spacing w:line="240" w:lineRule="exact"/>
              <w:ind w:left="105" w:leftChars="50" w:right="105" w:rightChars="50" w:firstLine="96" w:firstLineChars="46"/>
              <w:rPr>
                <w:rFonts w:hint="eastAsia" w:ascii="宋体" w:cs="宋体"/>
              </w:rPr>
            </w:pPr>
          </w:p>
          <w:p w14:paraId="1CE9171F">
            <w:pPr>
              <w:tabs>
                <w:tab w:val="left" w:pos="2604"/>
              </w:tabs>
              <w:spacing w:line="240" w:lineRule="exact"/>
              <w:ind w:left="105" w:leftChars="50" w:right="105" w:rightChars="50" w:firstLine="96" w:firstLineChars="46"/>
              <w:rPr>
                <w:rFonts w:hint="eastAsia" w:ascii="宋体" w:cs="宋体"/>
              </w:rPr>
            </w:pPr>
          </w:p>
          <w:p w14:paraId="10C638C0">
            <w:pPr>
              <w:tabs>
                <w:tab w:val="left" w:pos="2604"/>
              </w:tabs>
              <w:spacing w:line="240" w:lineRule="exact"/>
              <w:ind w:left="105" w:leftChars="50" w:right="105" w:rightChars="50" w:firstLine="96" w:firstLineChars="46"/>
              <w:rPr>
                <w:rFonts w:hint="eastAsia" w:ascii="宋体" w:cs="宋体"/>
              </w:rPr>
            </w:pPr>
          </w:p>
          <w:p w14:paraId="4F0C216F">
            <w:pPr>
              <w:tabs>
                <w:tab w:val="left" w:pos="2604"/>
              </w:tabs>
              <w:spacing w:line="240" w:lineRule="exact"/>
              <w:ind w:left="105" w:leftChars="50" w:right="105" w:rightChars="50" w:firstLine="96" w:firstLineChars="46"/>
              <w:rPr>
                <w:rFonts w:ascii="宋体" w:cs="宋体"/>
              </w:rPr>
            </w:pPr>
          </w:p>
        </w:tc>
        <w:tc>
          <w:tcPr>
            <w:tcW w:w="1576" w:type="pct"/>
            <w:tcMar>
              <w:top w:w="10" w:type="dxa"/>
              <w:left w:w="10" w:type="dxa"/>
              <w:bottom w:w="0" w:type="dxa"/>
              <w:right w:w="10" w:type="dxa"/>
            </w:tcMar>
            <w:vAlign w:val="center"/>
          </w:tcPr>
          <w:p w14:paraId="3CAEA84C">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部门本年度预算安排的重点预算支出与部门预算总支出的比率，用以反映和考核部门对履行主要职责或完成重点任务的保障程度。</w:t>
            </w:r>
          </w:p>
        </w:tc>
        <w:tc>
          <w:tcPr>
            <w:tcW w:w="1867" w:type="pct"/>
            <w:tcMar>
              <w:top w:w="10" w:type="dxa"/>
              <w:left w:w="10" w:type="dxa"/>
              <w:bottom w:w="0" w:type="dxa"/>
              <w:right w:w="10" w:type="dxa"/>
            </w:tcMar>
            <w:vAlign w:val="center"/>
          </w:tcPr>
          <w:p w14:paraId="3632AEF5">
            <w:pPr>
              <w:spacing w:line="240" w:lineRule="exact"/>
              <w:ind w:left="105" w:leftChars="50" w:right="105" w:rightChars="50"/>
              <w:rPr>
                <w:rFonts w:ascii="宋体" w:hAnsi="宋体" w:cs="宋体"/>
              </w:rPr>
            </w:pPr>
            <w:r>
              <w:rPr>
                <w:rFonts w:hint="eastAsia" w:ascii="宋体" w:hAnsi="宋体" w:cs="宋体"/>
              </w:rPr>
              <w:t>重点支出安排率</w:t>
            </w:r>
            <w:r>
              <w:rPr>
                <w:rFonts w:ascii="宋体" w:hAnsi="宋体" w:cs="宋体"/>
              </w:rPr>
              <w:t>=</w:t>
            </w:r>
            <w:r>
              <w:rPr>
                <w:rFonts w:hint="eastAsia" w:ascii="宋体" w:hAnsi="宋体" w:cs="宋体"/>
              </w:rPr>
              <w:t>（重点预算支出</w:t>
            </w:r>
            <w:r>
              <w:rPr>
                <w:rFonts w:ascii="宋体" w:hAnsi="宋体" w:cs="宋体"/>
              </w:rPr>
              <w:t>/</w:t>
            </w:r>
            <w:r>
              <w:rPr>
                <w:rFonts w:hint="eastAsia" w:ascii="宋体" w:hAnsi="宋体" w:cs="宋体"/>
              </w:rPr>
              <w:t>预算总支出）×</w:t>
            </w:r>
            <w:r>
              <w:rPr>
                <w:rFonts w:ascii="宋体" w:hAnsi="宋体" w:cs="宋体"/>
              </w:rPr>
              <w:t>100%</w:t>
            </w:r>
            <w:r>
              <w:rPr>
                <w:rFonts w:hint="eastAsia" w:ascii="宋体" w:hAnsi="宋体" w:cs="宋体"/>
              </w:rPr>
              <w:t>。</w:t>
            </w:r>
          </w:p>
          <w:p w14:paraId="4FED27E8">
            <w:pPr>
              <w:spacing w:line="240" w:lineRule="exact"/>
              <w:ind w:left="105" w:leftChars="50" w:right="105" w:rightChars="50"/>
              <w:rPr>
                <w:rFonts w:ascii="宋体" w:hAnsi="宋体" w:cs="宋体"/>
              </w:rPr>
            </w:pPr>
            <w:r>
              <w:rPr>
                <w:rFonts w:hint="eastAsia" w:ascii="宋体" w:hAnsi="宋体" w:cs="宋体"/>
              </w:rPr>
              <w:t>重点预算支出：部门年度预算安排的，与本部门履职和发展密切相关、具有明显社会和经济影响、党委政府关心或社会比较关注的预算支出支出总额。</w:t>
            </w:r>
          </w:p>
          <w:p w14:paraId="74137F52">
            <w:pPr>
              <w:spacing w:line="240" w:lineRule="exact"/>
              <w:ind w:left="105" w:leftChars="50" w:right="105" w:rightChars="50"/>
              <w:rPr>
                <w:rFonts w:ascii="宋体" w:cs="宋体"/>
              </w:rPr>
            </w:pPr>
            <w:r>
              <w:rPr>
                <w:rFonts w:hint="eastAsia" w:ascii="宋体" w:hAnsi="宋体" w:cs="宋体"/>
              </w:rPr>
              <w:t>预算总支出：部门年度预算安排的预算支出支出总额。</w:t>
            </w:r>
          </w:p>
        </w:tc>
      </w:tr>
      <w:tr w14:paraId="3B347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62" w:hRule="atLeast"/>
          <w:jc w:val="center"/>
        </w:trPr>
        <w:tc>
          <w:tcPr>
            <w:tcW w:w="307" w:type="pct"/>
            <w:vMerge w:val="restart"/>
            <w:noWrap/>
            <w:tcMar>
              <w:top w:w="10" w:type="dxa"/>
              <w:left w:w="10" w:type="dxa"/>
              <w:bottom w:w="0" w:type="dxa"/>
              <w:right w:w="10" w:type="dxa"/>
            </w:tcMar>
            <w:textDirection w:val="tbRlV"/>
            <w:vAlign w:val="center"/>
          </w:tcPr>
          <w:p w14:paraId="5C3C99C5">
            <w:pPr>
              <w:spacing w:line="240" w:lineRule="exact"/>
              <w:jc w:val="center"/>
              <w:rPr>
                <w:rFonts w:ascii="宋体" w:cs="宋体"/>
              </w:rPr>
            </w:pPr>
            <w:r>
              <w:rPr>
                <w:rFonts w:hint="eastAsia" w:ascii="宋体" w:hAnsi="宋体" w:cs="宋体"/>
              </w:rPr>
              <w:t>过程（</w:t>
            </w:r>
            <w:r>
              <w:rPr>
                <w:rFonts w:ascii="宋体" w:hAnsi="宋体" w:cs="宋体"/>
              </w:rPr>
              <w:t>30</w:t>
            </w:r>
            <w:r>
              <w:rPr>
                <w:rFonts w:hint="eastAsia" w:ascii="宋体" w:hAnsi="宋体" w:cs="宋体"/>
              </w:rPr>
              <w:t>分）</w:t>
            </w:r>
          </w:p>
        </w:tc>
        <w:tc>
          <w:tcPr>
            <w:tcW w:w="375" w:type="pct"/>
            <w:vMerge w:val="restart"/>
            <w:tcMar>
              <w:top w:w="10" w:type="dxa"/>
              <w:left w:w="10" w:type="dxa"/>
              <w:bottom w:w="0" w:type="dxa"/>
              <w:right w:w="10" w:type="dxa"/>
            </w:tcMar>
            <w:vAlign w:val="center"/>
          </w:tcPr>
          <w:p w14:paraId="6F34BBFC">
            <w:pPr>
              <w:spacing w:line="240" w:lineRule="exact"/>
              <w:jc w:val="center"/>
              <w:rPr>
                <w:rFonts w:ascii="宋体" w:hAnsi="宋体" w:cs="宋体"/>
              </w:rPr>
            </w:pPr>
            <w:r>
              <w:rPr>
                <w:rFonts w:hint="eastAsia" w:ascii="宋体" w:hAnsi="宋体" w:cs="宋体"/>
              </w:rPr>
              <w:t>预算</w:t>
            </w:r>
          </w:p>
          <w:p w14:paraId="01C7092E">
            <w:pPr>
              <w:spacing w:line="240" w:lineRule="exact"/>
              <w:jc w:val="center"/>
              <w:rPr>
                <w:rFonts w:ascii="宋体" w:cs="宋体"/>
              </w:rPr>
            </w:pPr>
            <w:r>
              <w:rPr>
                <w:rFonts w:hint="eastAsia" w:ascii="宋体" w:hAnsi="宋体" w:cs="宋体"/>
              </w:rPr>
              <w:t>执行（</w:t>
            </w:r>
            <w:r>
              <w:rPr>
                <w:rFonts w:ascii="宋体" w:hAnsi="宋体" w:cs="宋体"/>
              </w:rPr>
              <w:t>20</w:t>
            </w:r>
            <w:r>
              <w:rPr>
                <w:rFonts w:hint="eastAsia" w:ascii="宋体" w:hAnsi="宋体" w:cs="宋体"/>
              </w:rPr>
              <w:t>分）</w:t>
            </w:r>
          </w:p>
        </w:tc>
        <w:tc>
          <w:tcPr>
            <w:tcW w:w="500" w:type="pct"/>
            <w:tcMar>
              <w:top w:w="10" w:type="dxa"/>
              <w:left w:w="10" w:type="dxa"/>
              <w:bottom w:w="0" w:type="dxa"/>
              <w:right w:w="10" w:type="dxa"/>
            </w:tcMar>
            <w:vAlign w:val="center"/>
          </w:tcPr>
          <w:p w14:paraId="683A4018">
            <w:pPr>
              <w:spacing w:line="240" w:lineRule="exact"/>
              <w:jc w:val="center"/>
              <w:rPr>
                <w:rFonts w:ascii="宋体" w:cs="宋体"/>
              </w:rPr>
            </w:pPr>
            <w:r>
              <w:rPr>
                <w:rFonts w:hint="eastAsia" w:ascii="宋体" w:hAnsi="宋体" w:cs="宋体"/>
              </w:rPr>
              <w:t>预算</w:t>
            </w:r>
          </w:p>
          <w:p w14:paraId="20980B81">
            <w:pPr>
              <w:spacing w:line="240" w:lineRule="exact"/>
              <w:jc w:val="center"/>
              <w:rPr>
                <w:rFonts w:ascii="宋体" w:cs="宋体"/>
              </w:rPr>
            </w:pPr>
            <w:r>
              <w:rPr>
                <w:rFonts w:hint="eastAsia" w:ascii="宋体" w:hAnsi="宋体" w:cs="宋体"/>
              </w:rPr>
              <w:t>执行率（</w:t>
            </w:r>
            <w:r>
              <w:rPr>
                <w:rFonts w:ascii="宋体" w:hAnsi="宋体" w:cs="宋体"/>
              </w:rPr>
              <w:t>4</w:t>
            </w:r>
            <w:r>
              <w:rPr>
                <w:rFonts w:hint="eastAsia" w:ascii="宋体" w:hAnsi="宋体" w:cs="宋体"/>
              </w:rPr>
              <w:t>分）</w:t>
            </w:r>
          </w:p>
        </w:tc>
        <w:tc>
          <w:tcPr>
            <w:tcW w:w="375" w:type="pct"/>
            <w:tcMar>
              <w:top w:w="10" w:type="dxa"/>
              <w:left w:w="10" w:type="dxa"/>
              <w:bottom w:w="0" w:type="dxa"/>
              <w:right w:w="10" w:type="dxa"/>
            </w:tcMar>
          </w:tcPr>
          <w:p w14:paraId="1BCE75EB">
            <w:pPr>
              <w:tabs>
                <w:tab w:val="left" w:pos="2604"/>
              </w:tabs>
              <w:spacing w:line="240" w:lineRule="exact"/>
              <w:ind w:left="105" w:leftChars="50" w:right="105" w:rightChars="50" w:firstLine="96" w:firstLineChars="46"/>
              <w:rPr>
                <w:rFonts w:ascii="宋体" w:cs="宋体"/>
              </w:rPr>
            </w:pPr>
          </w:p>
          <w:p w14:paraId="6EBA04FE">
            <w:pPr>
              <w:tabs>
                <w:tab w:val="left" w:pos="2604"/>
              </w:tabs>
              <w:spacing w:line="240" w:lineRule="exact"/>
              <w:ind w:left="105" w:leftChars="50" w:right="105" w:rightChars="50" w:firstLine="96" w:firstLineChars="46"/>
              <w:rPr>
                <w:rFonts w:ascii="宋体" w:cs="宋体"/>
              </w:rPr>
            </w:pPr>
          </w:p>
          <w:p w14:paraId="16B846FC">
            <w:pPr>
              <w:tabs>
                <w:tab w:val="left" w:pos="2604"/>
              </w:tabs>
              <w:spacing w:line="240" w:lineRule="exact"/>
              <w:ind w:left="105" w:leftChars="50" w:right="105" w:rightChars="50" w:firstLine="96" w:firstLineChars="46"/>
              <w:rPr>
                <w:rFonts w:ascii="宋体" w:cs="宋体"/>
              </w:rPr>
            </w:pPr>
            <w:r>
              <w:rPr>
                <w:rFonts w:hint="eastAsia" w:ascii="宋体" w:cs="宋体"/>
              </w:rPr>
              <w:t>4</w:t>
            </w:r>
          </w:p>
        </w:tc>
        <w:tc>
          <w:tcPr>
            <w:tcW w:w="1576" w:type="pct"/>
            <w:tcMar>
              <w:top w:w="10" w:type="dxa"/>
              <w:left w:w="10" w:type="dxa"/>
              <w:bottom w:w="0" w:type="dxa"/>
              <w:right w:w="10" w:type="dxa"/>
            </w:tcMar>
            <w:vAlign w:val="center"/>
          </w:tcPr>
          <w:p w14:paraId="11A8D951">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部门本年度预算完成数与预算数的比率，用以反映和考核部门预算完成程度。</w:t>
            </w:r>
          </w:p>
        </w:tc>
        <w:tc>
          <w:tcPr>
            <w:tcW w:w="1867" w:type="pct"/>
            <w:tcMar>
              <w:top w:w="10" w:type="dxa"/>
              <w:left w:w="10" w:type="dxa"/>
              <w:bottom w:w="0" w:type="dxa"/>
              <w:right w:w="10" w:type="dxa"/>
            </w:tcMar>
            <w:vAlign w:val="center"/>
          </w:tcPr>
          <w:p w14:paraId="4273BD5F">
            <w:pPr>
              <w:spacing w:line="240" w:lineRule="exact"/>
              <w:ind w:left="105" w:leftChars="50" w:right="105" w:rightChars="50"/>
              <w:rPr>
                <w:rFonts w:ascii="宋体" w:hAnsi="宋体" w:cs="宋体"/>
              </w:rPr>
            </w:pPr>
            <w:r>
              <w:rPr>
                <w:rFonts w:hint="eastAsia" w:ascii="宋体" w:hAnsi="宋体" w:cs="宋体"/>
              </w:rPr>
              <w:t>预算执行率</w:t>
            </w:r>
            <w:r>
              <w:rPr>
                <w:rFonts w:ascii="宋体" w:hAnsi="宋体" w:cs="宋体"/>
              </w:rPr>
              <w:t>=</w:t>
            </w:r>
            <w:r>
              <w:rPr>
                <w:rFonts w:hint="eastAsia" w:ascii="宋体" w:hAnsi="宋体" w:cs="宋体"/>
              </w:rPr>
              <w:t>（预算执行数</w:t>
            </w:r>
            <w:r>
              <w:rPr>
                <w:rFonts w:ascii="宋体" w:hAnsi="宋体" w:cs="宋体"/>
              </w:rPr>
              <w:t>/</w:t>
            </w:r>
            <w:r>
              <w:rPr>
                <w:rFonts w:hint="eastAsia" w:ascii="宋体" w:hAnsi="宋体" w:cs="宋体"/>
              </w:rPr>
              <w:t>预算数）×</w:t>
            </w:r>
            <w:r>
              <w:rPr>
                <w:rFonts w:ascii="宋体" w:hAnsi="宋体" w:cs="宋体"/>
              </w:rPr>
              <w:t>100%</w:t>
            </w:r>
            <w:r>
              <w:rPr>
                <w:rFonts w:hint="eastAsia" w:ascii="宋体" w:hAnsi="宋体" w:cs="宋体"/>
              </w:rPr>
              <w:t>。</w:t>
            </w:r>
          </w:p>
          <w:p w14:paraId="53255902">
            <w:pPr>
              <w:spacing w:line="240" w:lineRule="exact"/>
              <w:ind w:left="105" w:leftChars="50" w:right="105" w:rightChars="50"/>
              <w:rPr>
                <w:rFonts w:ascii="宋体" w:hAnsi="宋体" w:cs="宋体"/>
              </w:rPr>
            </w:pPr>
            <w:r>
              <w:rPr>
                <w:rFonts w:hint="eastAsia" w:ascii="宋体" w:hAnsi="宋体" w:cs="宋体"/>
              </w:rPr>
              <w:t>预算执行数：部门本年度实际完成的预算数。</w:t>
            </w:r>
          </w:p>
          <w:p w14:paraId="192CB0FA">
            <w:pPr>
              <w:spacing w:line="240" w:lineRule="exact"/>
              <w:ind w:left="105" w:leftChars="50" w:right="105" w:rightChars="50"/>
              <w:rPr>
                <w:rFonts w:ascii="宋体" w:cs="宋体"/>
              </w:rPr>
            </w:pPr>
            <w:r>
              <w:rPr>
                <w:rFonts w:hint="eastAsia" w:ascii="宋体" w:hAnsi="宋体" w:cs="宋体"/>
              </w:rPr>
              <w:t>预算数：财政部门批复的本年度部门预算数。</w:t>
            </w:r>
          </w:p>
        </w:tc>
      </w:tr>
      <w:tr w14:paraId="25D51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24" w:hRule="atLeast"/>
          <w:jc w:val="center"/>
        </w:trPr>
        <w:tc>
          <w:tcPr>
            <w:tcW w:w="307" w:type="pct"/>
            <w:vMerge w:val="continue"/>
            <w:vAlign w:val="center"/>
          </w:tcPr>
          <w:p w14:paraId="35D47FC2">
            <w:pPr>
              <w:spacing w:line="240" w:lineRule="exact"/>
              <w:jc w:val="center"/>
              <w:rPr>
                <w:rFonts w:ascii="宋体" w:cs="宋体"/>
              </w:rPr>
            </w:pPr>
          </w:p>
        </w:tc>
        <w:tc>
          <w:tcPr>
            <w:tcW w:w="375" w:type="pct"/>
            <w:vMerge w:val="continue"/>
            <w:vAlign w:val="center"/>
          </w:tcPr>
          <w:p w14:paraId="7B751F45">
            <w:pPr>
              <w:spacing w:line="240" w:lineRule="exact"/>
              <w:jc w:val="center"/>
              <w:rPr>
                <w:rFonts w:ascii="宋体" w:cs="宋体"/>
              </w:rPr>
            </w:pPr>
          </w:p>
        </w:tc>
        <w:tc>
          <w:tcPr>
            <w:tcW w:w="500" w:type="pct"/>
            <w:tcMar>
              <w:top w:w="10" w:type="dxa"/>
              <w:left w:w="10" w:type="dxa"/>
              <w:bottom w:w="0" w:type="dxa"/>
              <w:right w:w="10" w:type="dxa"/>
            </w:tcMar>
            <w:vAlign w:val="center"/>
          </w:tcPr>
          <w:p w14:paraId="44B8D4D7">
            <w:pPr>
              <w:spacing w:line="240" w:lineRule="exact"/>
              <w:jc w:val="center"/>
              <w:rPr>
                <w:rFonts w:ascii="宋体" w:cs="宋体"/>
              </w:rPr>
            </w:pPr>
            <w:r>
              <w:rPr>
                <w:rFonts w:hint="eastAsia" w:ascii="宋体" w:hAnsi="宋体" w:cs="宋体"/>
              </w:rPr>
              <w:t>预算</w:t>
            </w:r>
          </w:p>
          <w:p w14:paraId="2E417DF3">
            <w:pPr>
              <w:spacing w:line="240" w:lineRule="exact"/>
              <w:jc w:val="center"/>
              <w:rPr>
                <w:rFonts w:ascii="宋体" w:cs="宋体"/>
              </w:rPr>
            </w:pPr>
            <w:r>
              <w:rPr>
                <w:rFonts w:hint="eastAsia" w:ascii="宋体" w:hAnsi="宋体" w:cs="宋体"/>
              </w:rPr>
              <w:t>调整率（</w:t>
            </w:r>
            <w:r>
              <w:rPr>
                <w:rFonts w:ascii="宋体" w:hAnsi="宋体" w:cs="宋体"/>
              </w:rPr>
              <w:t>2</w:t>
            </w:r>
            <w:r>
              <w:rPr>
                <w:rFonts w:hint="eastAsia" w:ascii="宋体" w:hAnsi="宋体" w:cs="宋体"/>
              </w:rPr>
              <w:t>分）</w:t>
            </w:r>
          </w:p>
        </w:tc>
        <w:tc>
          <w:tcPr>
            <w:tcW w:w="375" w:type="pct"/>
            <w:tcMar>
              <w:top w:w="10" w:type="dxa"/>
              <w:left w:w="10" w:type="dxa"/>
              <w:bottom w:w="0" w:type="dxa"/>
              <w:right w:w="10" w:type="dxa"/>
            </w:tcMar>
          </w:tcPr>
          <w:p w14:paraId="60C25B9F">
            <w:pPr>
              <w:tabs>
                <w:tab w:val="left" w:pos="2604"/>
              </w:tabs>
              <w:spacing w:line="240" w:lineRule="exact"/>
              <w:ind w:left="105" w:leftChars="50" w:right="105" w:rightChars="50" w:firstLine="96" w:firstLineChars="46"/>
              <w:rPr>
                <w:rFonts w:ascii="宋体" w:cs="宋体"/>
              </w:rPr>
            </w:pPr>
          </w:p>
          <w:p w14:paraId="1DC4EF36">
            <w:pPr>
              <w:tabs>
                <w:tab w:val="left" w:pos="2604"/>
              </w:tabs>
              <w:spacing w:line="240" w:lineRule="exact"/>
              <w:ind w:left="105" w:leftChars="50" w:right="105" w:rightChars="50" w:firstLine="96" w:firstLineChars="46"/>
              <w:rPr>
                <w:rFonts w:ascii="宋体" w:cs="宋体"/>
              </w:rPr>
            </w:pPr>
          </w:p>
          <w:p w14:paraId="7DBFEB74">
            <w:pPr>
              <w:tabs>
                <w:tab w:val="left" w:pos="2604"/>
              </w:tabs>
              <w:spacing w:line="240" w:lineRule="exact"/>
              <w:ind w:left="105" w:leftChars="50" w:right="105" w:rightChars="50" w:firstLine="96" w:firstLineChars="46"/>
              <w:rPr>
                <w:rFonts w:ascii="宋体" w:cs="宋体"/>
              </w:rPr>
            </w:pPr>
          </w:p>
          <w:p w14:paraId="644E65E9">
            <w:pPr>
              <w:tabs>
                <w:tab w:val="left" w:pos="2604"/>
              </w:tabs>
              <w:spacing w:line="240" w:lineRule="exact"/>
              <w:ind w:left="105" w:leftChars="50" w:right="105" w:rightChars="50" w:firstLine="96" w:firstLineChars="46"/>
              <w:rPr>
                <w:rFonts w:ascii="宋体" w:cs="宋体"/>
              </w:rPr>
            </w:pPr>
            <w:r>
              <w:rPr>
                <w:rFonts w:hint="eastAsia" w:ascii="宋体" w:cs="宋体"/>
              </w:rPr>
              <w:t>2</w:t>
            </w:r>
          </w:p>
        </w:tc>
        <w:tc>
          <w:tcPr>
            <w:tcW w:w="1576" w:type="pct"/>
            <w:tcMar>
              <w:top w:w="10" w:type="dxa"/>
              <w:left w:w="10" w:type="dxa"/>
              <w:bottom w:w="0" w:type="dxa"/>
              <w:right w:w="10" w:type="dxa"/>
            </w:tcMar>
            <w:vAlign w:val="center"/>
          </w:tcPr>
          <w:p w14:paraId="693888C6">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部门本年度预算调整数与预算数的比率，用以反映和考核部门预算的调整程度。</w:t>
            </w:r>
          </w:p>
        </w:tc>
        <w:tc>
          <w:tcPr>
            <w:tcW w:w="1867" w:type="pct"/>
            <w:tcMar>
              <w:top w:w="10" w:type="dxa"/>
              <w:left w:w="10" w:type="dxa"/>
              <w:bottom w:w="0" w:type="dxa"/>
              <w:right w:w="10" w:type="dxa"/>
            </w:tcMar>
            <w:vAlign w:val="center"/>
          </w:tcPr>
          <w:p w14:paraId="39D6FC33">
            <w:pPr>
              <w:spacing w:line="240" w:lineRule="exact"/>
              <w:ind w:left="105" w:leftChars="50" w:right="105" w:rightChars="50"/>
              <w:rPr>
                <w:rFonts w:ascii="宋体" w:hAnsi="宋体" w:cs="宋体"/>
              </w:rPr>
            </w:pPr>
            <w:r>
              <w:rPr>
                <w:rFonts w:hint="eastAsia" w:ascii="宋体" w:hAnsi="宋体" w:cs="宋体"/>
              </w:rPr>
              <w:t>预算调整率</w:t>
            </w:r>
            <w:r>
              <w:rPr>
                <w:rFonts w:ascii="宋体" w:hAnsi="宋体" w:cs="宋体"/>
              </w:rPr>
              <w:t>=</w:t>
            </w:r>
            <w:r>
              <w:rPr>
                <w:rFonts w:hint="eastAsia" w:ascii="宋体" w:hAnsi="宋体" w:cs="宋体"/>
              </w:rPr>
              <w:t>（预算调整数</w:t>
            </w:r>
            <w:r>
              <w:rPr>
                <w:rFonts w:ascii="宋体" w:hAnsi="宋体" w:cs="宋体"/>
              </w:rPr>
              <w:t>/</w:t>
            </w:r>
            <w:r>
              <w:rPr>
                <w:rFonts w:hint="eastAsia" w:ascii="宋体" w:hAnsi="宋体" w:cs="宋体"/>
              </w:rPr>
              <w:t>预算数）×</w:t>
            </w:r>
            <w:r>
              <w:rPr>
                <w:rFonts w:ascii="宋体" w:hAnsi="宋体" w:cs="宋体"/>
              </w:rPr>
              <w:t>100%</w:t>
            </w:r>
            <w:r>
              <w:rPr>
                <w:rFonts w:hint="eastAsia" w:ascii="宋体" w:hAnsi="宋体" w:cs="宋体"/>
              </w:rPr>
              <w:t>。</w:t>
            </w:r>
          </w:p>
          <w:p w14:paraId="4E6A5C87">
            <w:pPr>
              <w:spacing w:line="240" w:lineRule="exact"/>
              <w:ind w:left="105" w:leftChars="50" w:right="105" w:rightChars="50"/>
              <w:rPr>
                <w:rFonts w:ascii="宋体" w:cs="宋体"/>
              </w:rPr>
            </w:pPr>
            <w:r>
              <w:rPr>
                <w:rFonts w:hint="eastAsia" w:ascii="宋体" w:hAnsi="宋体" w:cs="宋体"/>
              </w:rPr>
              <w:t>预算调整数：部门在本年度内涉及预算的追加、追减或结构调整的资金总和（因落实国家政策、发生不可抗力、上级部门或本级党委政府临时交办而产生的调整除外）。</w:t>
            </w:r>
          </w:p>
        </w:tc>
      </w:tr>
      <w:tr w14:paraId="75316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31" w:hRule="atLeast"/>
          <w:jc w:val="center"/>
        </w:trPr>
        <w:tc>
          <w:tcPr>
            <w:tcW w:w="307" w:type="pct"/>
            <w:vMerge w:val="continue"/>
            <w:vAlign w:val="center"/>
          </w:tcPr>
          <w:p w14:paraId="136EE35C">
            <w:pPr>
              <w:spacing w:line="240" w:lineRule="exact"/>
              <w:jc w:val="center"/>
              <w:rPr>
                <w:rFonts w:ascii="宋体" w:cs="宋体"/>
              </w:rPr>
            </w:pPr>
          </w:p>
        </w:tc>
        <w:tc>
          <w:tcPr>
            <w:tcW w:w="375" w:type="pct"/>
            <w:vMerge w:val="continue"/>
            <w:vAlign w:val="center"/>
          </w:tcPr>
          <w:p w14:paraId="4D1966B9">
            <w:pPr>
              <w:spacing w:line="240" w:lineRule="exact"/>
              <w:jc w:val="center"/>
              <w:rPr>
                <w:rFonts w:ascii="宋体" w:cs="宋体"/>
              </w:rPr>
            </w:pPr>
          </w:p>
        </w:tc>
        <w:tc>
          <w:tcPr>
            <w:tcW w:w="500" w:type="pct"/>
            <w:tcMar>
              <w:top w:w="10" w:type="dxa"/>
              <w:left w:w="10" w:type="dxa"/>
              <w:bottom w:w="0" w:type="dxa"/>
              <w:right w:w="10" w:type="dxa"/>
            </w:tcMar>
            <w:vAlign w:val="center"/>
          </w:tcPr>
          <w:p w14:paraId="3C9A1BE2">
            <w:pPr>
              <w:spacing w:line="240" w:lineRule="exact"/>
              <w:jc w:val="center"/>
              <w:rPr>
                <w:rFonts w:ascii="宋体" w:cs="宋体"/>
              </w:rPr>
            </w:pPr>
            <w:r>
              <w:rPr>
                <w:rFonts w:hint="eastAsia" w:ascii="宋体" w:hAnsi="宋体" w:cs="宋体"/>
              </w:rPr>
              <w:t>支付</w:t>
            </w:r>
          </w:p>
          <w:p w14:paraId="19EA2821">
            <w:pPr>
              <w:spacing w:line="240" w:lineRule="exact"/>
              <w:jc w:val="center"/>
              <w:rPr>
                <w:rFonts w:ascii="宋体" w:cs="宋体"/>
              </w:rPr>
            </w:pPr>
            <w:r>
              <w:rPr>
                <w:rFonts w:hint="eastAsia" w:ascii="宋体" w:hAnsi="宋体" w:cs="宋体"/>
              </w:rPr>
              <w:t>进度率（</w:t>
            </w:r>
            <w:r>
              <w:rPr>
                <w:rFonts w:ascii="宋体" w:hAnsi="宋体" w:cs="宋体"/>
              </w:rPr>
              <w:t>2</w:t>
            </w:r>
            <w:r>
              <w:rPr>
                <w:rFonts w:hint="eastAsia" w:ascii="宋体" w:hAnsi="宋体" w:cs="宋体"/>
              </w:rPr>
              <w:t>分）</w:t>
            </w:r>
          </w:p>
        </w:tc>
        <w:tc>
          <w:tcPr>
            <w:tcW w:w="375" w:type="pct"/>
            <w:tcMar>
              <w:top w:w="10" w:type="dxa"/>
              <w:left w:w="10" w:type="dxa"/>
              <w:bottom w:w="0" w:type="dxa"/>
              <w:right w:w="10" w:type="dxa"/>
            </w:tcMar>
          </w:tcPr>
          <w:p w14:paraId="5A045801">
            <w:pPr>
              <w:tabs>
                <w:tab w:val="left" w:pos="2604"/>
              </w:tabs>
              <w:spacing w:line="240" w:lineRule="exact"/>
              <w:ind w:left="105" w:leftChars="50" w:right="105" w:rightChars="50" w:firstLine="96" w:firstLineChars="46"/>
              <w:rPr>
                <w:rFonts w:ascii="宋体" w:cs="宋体"/>
              </w:rPr>
            </w:pPr>
          </w:p>
          <w:p w14:paraId="1D49B984">
            <w:pPr>
              <w:tabs>
                <w:tab w:val="left" w:pos="2604"/>
              </w:tabs>
              <w:spacing w:line="240" w:lineRule="exact"/>
              <w:ind w:left="105" w:leftChars="50" w:right="105" w:rightChars="50" w:firstLine="96" w:firstLineChars="46"/>
              <w:rPr>
                <w:rFonts w:ascii="宋体" w:cs="宋体"/>
              </w:rPr>
            </w:pPr>
          </w:p>
          <w:p w14:paraId="3AFD027A">
            <w:pPr>
              <w:tabs>
                <w:tab w:val="left" w:pos="2604"/>
              </w:tabs>
              <w:spacing w:line="240" w:lineRule="exact"/>
              <w:ind w:left="105" w:leftChars="50" w:right="105" w:rightChars="50" w:firstLine="96" w:firstLineChars="46"/>
              <w:rPr>
                <w:rFonts w:ascii="宋体" w:cs="宋体"/>
              </w:rPr>
            </w:pPr>
          </w:p>
          <w:p w14:paraId="30D0A09B">
            <w:pPr>
              <w:tabs>
                <w:tab w:val="left" w:pos="2604"/>
              </w:tabs>
              <w:spacing w:line="240" w:lineRule="exact"/>
              <w:ind w:left="105" w:leftChars="50" w:right="105" w:rightChars="50" w:firstLine="96" w:firstLineChars="46"/>
              <w:rPr>
                <w:rFonts w:ascii="宋体" w:cs="宋体"/>
              </w:rPr>
            </w:pPr>
          </w:p>
          <w:p w14:paraId="3D5440CC">
            <w:pPr>
              <w:tabs>
                <w:tab w:val="left" w:pos="2604"/>
              </w:tabs>
              <w:spacing w:line="240" w:lineRule="exact"/>
              <w:ind w:left="105" w:leftChars="50" w:right="105" w:rightChars="50" w:firstLine="96" w:firstLineChars="46"/>
              <w:rPr>
                <w:rFonts w:ascii="宋体" w:cs="宋体"/>
              </w:rPr>
            </w:pPr>
            <w:r>
              <w:rPr>
                <w:rFonts w:hint="eastAsia" w:ascii="宋体" w:cs="宋体"/>
              </w:rPr>
              <w:t>2</w:t>
            </w:r>
          </w:p>
        </w:tc>
        <w:tc>
          <w:tcPr>
            <w:tcW w:w="1576" w:type="pct"/>
            <w:tcMar>
              <w:top w:w="10" w:type="dxa"/>
              <w:left w:w="10" w:type="dxa"/>
              <w:bottom w:w="0" w:type="dxa"/>
              <w:right w:w="10" w:type="dxa"/>
            </w:tcMar>
            <w:vAlign w:val="center"/>
          </w:tcPr>
          <w:p w14:paraId="4C8CABAD">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部门实际支付进度与既定支付进度的比率，用以反映和考核部门预算执行的及时性和均衡性程度。</w:t>
            </w:r>
          </w:p>
        </w:tc>
        <w:tc>
          <w:tcPr>
            <w:tcW w:w="1867" w:type="pct"/>
            <w:tcMar>
              <w:top w:w="10" w:type="dxa"/>
              <w:left w:w="10" w:type="dxa"/>
              <w:bottom w:w="0" w:type="dxa"/>
              <w:right w:w="10" w:type="dxa"/>
            </w:tcMar>
            <w:vAlign w:val="center"/>
          </w:tcPr>
          <w:p w14:paraId="4CD67659">
            <w:pPr>
              <w:spacing w:line="240" w:lineRule="exact"/>
              <w:ind w:left="105" w:leftChars="50" w:right="105" w:rightChars="50"/>
              <w:rPr>
                <w:rFonts w:ascii="宋体" w:hAnsi="宋体" w:cs="宋体"/>
              </w:rPr>
            </w:pPr>
            <w:r>
              <w:rPr>
                <w:rFonts w:hint="eastAsia" w:ascii="宋体" w:hAnsi="宋体" w:cs="宋体"/>
              </w:rPr>
              <w:t>支付进度率</w:t>
            </w:r>
            <w:r>
              <w:rPr>
                <w:rFonts w:ascii="宋体" w:hAnsi="宋体" w:cs="宋体"/>
              </w:rPr>
              <w:t>=</w:t>
            </w:r>
            <w:r>
              <w:rPr>
                <w:rFonts w:hint="eastAsia" w:ascii="宋体" w:hAnsi="宋体" w:cs="宋体"/>
              </w:rPr>
              <w:t>（实际支付进度</w:t>
            </w:r>
            <w:r>
              <w:rPr>
                <w:rFonts w:ascii="宋体" w:hAnsi="宋体" w:cs="宋体"/>
              </w:rPr>
              <w:t>/</w:t>
            </w:r>
            <w:r>
              <w:rPr>
                <w:rFonts w:hint="eastAsia" w:ascii="宋体" w:hAnsi="宋体" w:cs="宋体"/>
              </w:rPr>
              <w:t>既定支付进度）×</w:t>
            </w:r>
            <w:r>
              <w:rPr>
                <w:rFonts w:ascii="宋体" w:hAnsi="宋体" w:cs="宋体"/>
              </w:rPr>
              <w:t>100%</w:t>
            </w:r>
            <w:r>
              <w:rPr>
                <w:rFonts w:hint="eastAsia" w:ascii="宋体" w:hAnsi="宋体" w:cs="宋体"/>
              </w:rPr>
              <w:t>。</w:t>
            </w:r>
          </w:p>
          <w:p w14:paraId="58BC31A7">
            <w:pPr>
              <w:spacing w:line="240" w:lineRule="exact"/>
              <w:ind w:left="105" w:leftChars="50" w:right="105" w:rightChars="50"/>
              <w:rPr>
                <w:rFonts w:ascii="宋体" w:hAnsi="宋体" w:cs="宋体"/>
              </w:rPr>
            </w:pPr>
            <w:r>
              <w:rPr>
                <w:rFonts w:hint="eastAsia" w:ascii="宋体" w:hAnsi="宋体" w:cs="宋体"/>
              </w:rPr>
              <w:t>实际支付进度：部门在某一时点的支出预算执行总数与年度支出预算数的比率。</w:t>
            </w:r>
          </w:p>
          <w:p w14:paraId="5CE416B7">
            <w:pPr>
              <w:spacing w:line="240" w:lineRule="exact"/>
              <w:ind w:left="105" w:leftChars="50" w:right="105" w:rightChars="50"/>
              <w:rPr>
                <w:rFonts w:ascii="宋体" w:cs="宋体"/>
              </w:rPr>
            </w:pPr>
            <w:r>
              <w:rPr>
                <w:rFonts w:hint="eastAsia" w:ascii="宋体" w:hAnsi="宋体" w:cs="宋体"/>
              </w:rPr>
              <w:t>既定支付进度：由部门在申报部门整体绩效目标时，参照序时支付进度、前三年支付进度、本级部门平均支付进度水平等确定的，在某一时点应达到的支付进度（比率）。</w:t>
            </w:r>
          </w:p>
        </w:tc>
      </w:tr>
      <w:tr w14:paraId="7DE23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9" w:hRule="atLeast"/>
          <w:jc w:val="center"/>
        </w:trPr>
        <w:tc>
          <w:tcPr>
            <w:tcW w:w="307" w:type="pct"/>
            <w:vMerge w:val="continue"/>
            <w:noWrap/>
            <w:tcMar>
              <w:top w:w="10" w:type="dxa"/>
              <w:left w:w="10" w:type="dxa"/>
              <w:bottom w:w="0" w:type="dxa"/>
              <w:right w:w="10" w:type="dxa"/>
            </w:tcMar>
            <w:textDirection w:val="tbRlV"/>
            <w:vAlign w:val="center"/>
          </w:tcPr>
          <w:p w14:paraId="0F959F97">
            <w:pPr>
              <w:spacing w:line="240" w:lineRule="exact"/>
              <w:jc w:val="center"/>
              <w:rPr>
                <w:rFonts w:ascii="宋体" w:cs="宋体"/>
              </w:rPr>
            </w:pPr>
          </w:p>
        </w:tc>
        <w:tc>
          <w:tcPr>
            <w:tcW w:w="375" w:type="pct"/>
            <w:vMerge w:val="continue"/>
            <w:tcMar>
              <w:top w:w="10" w:type="dxa"/>
              <w:left w:w="10" w:type="dxa"/>
              <w:bottom w:w="0" w:type="dxa"/>
              <w:right w:w="10" w:type="dxa"/>
            </w:tcMar>
            <w:vAlign w:val="center"/>
          </w:tcPr>
          <w:p w14:paraId="70747FAF">
            <w:pPr>
              <w:spacing w:line="240" w:lineRule="exact"/>
              <w:jc w:val="center"/>
              <w:rPr>
                <w:rFonts w:ascii="宋体" w:cs="宋体"/>
              </w:rPr>
            </w:pPr>
          </w:p>
        </w:tc>
        <w:tc>
          <w:tcPr>
            <w:tcW w:w="500" w:type="pct"/>
            <w:tcMar>
              <w:top w:w="10" w:type="dxa"/>
              <w:left w:w="10" w:type="dxa"/>
              <w:bottom w:w="0" w:type="dxa"/>
              <w:right w:w="10" w:type="dxa"/>
            </w:tcMar>
            <w:vAlign w:val="center"/>
          </w:tcPr>
          <w:p w14:paraId="778B90B8">
            <w:pPr>
              <w:spacing w:line="240" w:lineRule="exact"/>
              <w:jc w:val="center"/>
              <w:rPr>
                <w:rFonts w:ascii="宋体" w:cs="宋体"/>
              </w:rPr>
            </w:pPr>
            <w:r>
              <w:rPr>
                <w:rFonts w:hint="eastAsia" w:ascii="宋体" w:hAnsi="宋体" w:cs="宋体"/>
              </w:rPr>
              <w:t>结转</w:t>
            </w:r>
          </w:p>
          <w:p w14:paraId="25790E62">
            <w:pPr>
              <w:spacing w:line="240" w:lineRule="exact"/>
              <w:jc w:val="center"/>
              <w:rPr>
                <w:rFonts w:ascii="宋体" w:cs="宋体"/>
              </w:rPr>
            </w:pPr>
            <w:r>
              <w:rPr>
                <w:rFonts w:hint="eastAsia" w:ascii="宋体" w:hAnsi="宋体" w:cs="宋体"/>
              </w:rPr>
              <w:t>结余率（</w:t>
            </w:r>
            <w:r>
              <w:rPr>
                <w:rFonts w:ascii="宋体" w:hAnsi="宋体" w:cs="宋体"/>
              </w:rPr>
              <w:t>2</w:t>
            </w:r>
            <w:r>
              <w:rPr>
                <w:rFonts w:hint="eastAsia" w:ascii="宋体" w:hAnsi="宋体" w:cs="宋体"/>
              </w:rPr>
              <w:t>分）</w:t>
            </w:r>
          </w:p>
        </w:tc>
        <w:tc>
          <w:tcPr>
            <w:tcW w:w="375" w:type="pct"/>
            <w:tcMar>
              <w:top w:w="10" w:type="dxa"/>
              <w:left w:w="10" w:type="dxa"/>
              <w:bottom w:w="0" w:type="dxa"/>
              <w:right w:w="10" w:type="dxa"/>
            </w:tcMar>
          </w:tcPr>
          <w:p w14:paraId="28B637D9">
            <w:pPr>
              <w:tabs>
                <w:tab w:val="left" w:pos="2604"/>
              </w:tabs>
              <w:spacing w:line="240" w:lineRule="exact"/>
              <w:ind w:left="105" w:leftChars="50" w:right="105" w:rightChars="50" w:firstLine="96" w:firstLineChars="46"/>
              <w:rPr>
                <w:rFonts w:ascii="宋体" w:cs="宋体"/>
              </w:rPr>
            </w:pPr>
          </w:p>
          <w:p w14:paraId="3D441130">
            <w:pPr>
              <w:tabs>
                <w:tab w:val="left" w:pos="2604"/>
              </w:tabs>
              <w:spacing w:line="240" w:lineRule="exact"/>
              <w:ind w:left="105" w:leftChars="50" w:right="105" w:rightChars="50" w:firstLine="96" w:firstLineChars="46"/>
              <w:rPr>
                <w:rFonts w:ascii="宋体" w:cs="宋体"/>
              </w:rPr>
            </w:pPr>
          </w:p>
          <w:p w14:paraId="5A888036">
            <w:pPr>
              <w:tabs>
                <w:tab w:val="left" w:pos="2604"/>
              </w:tabs>
              <w:spacing w:line="240" w:lineRule="exact"/>
              <w:ind w:left="105" w:leftChars="50" w:right="105" w:rightChars="50" w:firstLine="96" w:firstLineChars="46"/>
              <w:rPr>
                <w:rFonts w:ascii="宋体" w:cs="宋体"/>
              </w:rPr>
            </w:pPr>
            <w:r>
              <w:rPr>
                <w:rFonts w:hint="eastAsia" w:ascii="宋体" w:cs="宋体"/>
              </w:rPr>
              <w:t>1</w:t>
            </w:r>
          </w:p>
        </w:tc>
        <w:tc>
          <w:tcPr>
            <w:tcW w:w="1576" w:type="pct"/>
            <w:tcMar>
              <w:top w:w="10" w:type="dxa"/>
              <w:left w:w="10" w:type="dxa"/>
              <w:bottom w:w="0" w:type="dxa"/>
              <w:right w:w="10" w:type="dxa"/>
            </w:tcMar>
            <w:vAlign w:val="center"/>
          </w:tcPr>
          <w:p w14:paraId="2D54B52C">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部门本年度结转结余总额与支出预算数的比率，用以反映和考核部门对本年度结转结余资金的实际控制程度。</w:t>
            </w:r>
          </w:p>
        </w:tc>
        <w:tc>
          <w:tcPr>
            <w:tcW w:w="1867" w:type="pct"/>
            <w:tcMar>
              <w:top w:w="10" w:type="dxa"/>
              <w:left w:w="10" w:type="dxa"/>
              <w:bottom w:w="0" w:type="dxa"/>
              <w:right w:w="10" w:type="dxa"/>
            </w:tcMar>
            <w:vAlign w:val="center"/>
          </w:tcPr>
          <w:p w14:paraId="576A2DFE">
            <w:pPr>
              <w:spacing w:line="240" w:lineRule="exact"/>
              <w:ind w:left="105" w:leftChars="50" w:right="105" w:rightChars="50"/>
              <w:rPr>
                <w:rFonts w:ascii="宋体" w:hAnsi="宋体" w:cs="宋体"/>
              </w:rPr>
            </w:pPr>
            <w:r>
              <w:rPr>
                <w:rFonts w:hint="eastAsia" w:ascii="宋体" w:hAnsi="宋体" w:cs="宋体"/>
              </w:rPr>
              <w:t>结转结余率</w:t>
            </w:r>
            <w:r>
              <w:rPr>
                <w:rFonts w:ascii="宋体" w:hAnsi="宋体" w:cs="宋体"/>
              </w:rPr>
              <w:t>=</w:t>
            </w:r>
            <w:r>
              <w:rPr>
                <w:rFonts w:hint="eastAsia" w:ascii="宋体" w:hAnsi="宋体" w:cs="宋体"/>
              </w:rPr>
              <w:t>结转结余总额</w:t>
            </w:r>
            <w:r>
              <w:rPr>
                <w:rFonts w:ascii="宋体" w:hAnsi="宋体" w:cs="宋体"/>
              </w:rPr>
              <w:t>/</w:t>
            </w:r>
            <w:r>
              <w:rPr>
                <w:rFonts w:hint="eastAsia" w:ascii="宋体" w:hAnsi="宋体" w:cs="宋体"/>
              </w:rPr>
              <w:t>支出预算数×</w:t>
            </w:r>
            <w:r>
              <w:rPr>
                <w:rFonts w:ascii="宋体" w:hAnsi="宋体" w:cs="宋体"/>
              </w:rPr>
              <w:t>100%</w:t>
            </w:r>
            <w:r>
              <w:rPr>
                <w:rFonts w:hint="eastAsia" w:ascii="宋体" w:hAnsi="宋体" w:cs="宋体"/>
              </w:rPr>
              <w:t>。</w:t>
            </w:r>
          </w:p>
          <w:p w14:paraId="6077D927">
            <w:pPr>
              <w:spacing w:line="240" w:lineRule="exact"/>
              <w:ind w:left="105" w:leftChars="50" w:right="105" w:rightChars="50"/>
              <w:rPr>
                <w:rFonts w:ascii="宋体" w:cs="宋体"/>
              </w:rPr>
            </w:pPr>
            <w:r>
              <w:rPr>
                <w:rFonts w:hint="eastAsia" w:ascii="宋体" w:hAnsi="宋体" w:cs="宋体"/>
              </w:rPr>
              <w:t>结转结余总额：部门本年度的结转资金与结余资金之和（以决算数为准）。</w:t>
            </w:r>
          </w:p>
        </w:tc>
      </w:tr>
      <w:tr w14:paraId="0D1E1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3" w:hRule="atLeast"/>
          <w:jc w:val="center"/>
        </w:trPr>
        <w:tc>
          <w:tcPr>
            <w:tcW w:w="307" w:type="pct"/>
            <w:vMerge w:val="continue"/>
            <w:vAlign w:val="center"/>
          </w:tcPr>
          <w:p w14:paraId="5C1F1D31">
            <w:pPr>
              <w:spacing w:line="240" w:lineRule="exact"/>
              <w:jc w:val="center"/>
              <w:rPr>
                <w:rFonts w:ascii="宋体" w:cs="宋体"/>
              </w:rPr>
            </w:pPr>
          </w:p>
        </w:tc>
        <w:tc>
          <w:tcPr>
            <w:tcW w:w="375" w:type="pct"/>
            <w:vMerge w:val="continue"/>
            <w:vAlign w:val="center"/>
          </w:tcPr>
          <w:p w14:paraId="7280401D">
            <w:pPr>
              <w:spacing w:line="240" w:lineRule="exact"/>
              <w:rPr>
                <w:rFonts w:ascii="宋体" w:cs="宋体"/>
              </w:rPr>
            </w:pPr>
          </w:p>
        </w:tc>
        <w:tc>
          <w:tcPr>
            <w:tcW w:w="500" w:type="pct"/>
            <w:tcMar>
              <w:top w:w="10" w:type="dxa"/>
              <w:left w:w="10" w:type="dxa"/>
              <w:bottom w:w="0" w:type="dxa"/>
              <w:right w:w="10" w:type="dxa"/>
            </w:tcMar>
            <w:vAlign w:val="center"/>
          </w:tcPr>
          <w:p w14:paraId="0ED20D85">
            <w:pPr>
              <w:spacing w:line="240" w:lineRule="exact"/>
              <w:jc w:val="center"/>
              <w:rPr>
                <w:rFonts w:ascii="宋体" w:cs="宋体"/>
              </w:rPr>
            </w:pPr>
            <w:r>
              <w:rPr>
                <w:rFonts w:hint="eastAsia" w:ascii="宋体" w:hAnsi="宋体" w:cs="宋体"/>
              </w:rPr>
              <w:t>结转结余</w:t>
            </w:r>
          </w:p>
          <w:p w14:paraId="424312E1">
            <w:pPr>
              <w:spacing w:line="240" w:lineRule="exact"/>
              <w:jc w:val="center"/>
              <w:rPr>
                <w:rFonts w:ascii="宋体" w:cs="宋体"/>
              </w:rPr>
            </w:pPr>
            <w:r>
              <w:rPr>
                <w:rFonts w:hint="eastAsia" w:ascii="宋体" w:hAnsi="宋体" w:cs="宋体"/>
              </w:rPr>
              <w:t>变动率（</w:t>
            </w:r>
            <w:r>
              <w:rPr>
                <w:rFonts w:ascii="宋体" w:hAnsi="宋体" w:cs="宋体"/>
              </w:rPr>
              <w:t>2</w:t>
            </w:r>
            <w:r>
              <w:rPr>
                <w:rFonts w:hint="eastAsia" w:ascii="宋体" w:hAnsi="宋体" w:cs="宋体"/>
              </w:rPr>
              <w:t>分）</w:t>
            </w:r>
          </w:p>
        </w:tc>
        <w:tc>
          <w:tcPr>
            <w:tcW w:w="375" w:type="pct"/>
            <w:tcMar>
              <w:top w:w="10" w:type="dxa"/>
              <w:left w:w="10" w:type="dxa"/>
              <w:bottom w:w="0" w:type="dxa"/>
              <w:right w:w="10" w:type="dxa"/>
            </w:tcMar>
          </w:tcPr>
          <w:p w14:paraId="1FFE4969">
            <w:pPr>
              <w:tabs>
                <w:tab w:val="left" w:pos="2604"/>
              </w:tabs>
              <w:spacing w:line="240" w:lineRule="exact"/>
              <w:ind w:left="105" w:leftChars="50" w:right="105" w:rightChars="50" w:firstLine="96" w:firstLineChars="46"/>
              <w:rPr>
                <w:rFonts w:ascii="宋体" w:cs="宋体"/>
              </w:rPr>
            </w:pPr>
          </w:p>
          <w:p w14:paraId="600A9E98">
            <w:pPr>
              <w:tabs>
                <w:tab w:val="left" w:pos="2604"/>
              </w:tabs>
              <w:spacing w:line="240" w:lineRule="exact"/>
              <w:ind w:left="105" w:leftChars="50" w:right="105" w:rightChars="50" w:firstLine="96" w:firstLineChars="46"/>
              <w:rPr>
                <w:rFonts w:ascii="宋体" w:cs="宋体"/>
              </w:rPr>
            </w:pPr>
          </w:p>
          <w:p w14:paraId="0CF8799F">
            <w:pPr>
              <w:tabs>
                <w:tab w:val="left" w:pos="2604"/>
              </w:tabs>
              <w:spacing w:line="240" w:lineRule="exact"/>
              <w:ind w:left="105" w:leftChars="50" w:right="105" w:rightChars="50" w:firstLine="96" w:firstLineChars="46"/>
              <w:rPr>
                <w:rFonts w:ascii="宋体" w:cs="宋体"/>
              </w:rPr>
            </w:pPr>
            <w:r>
              <w:rPr>
                <w:rFonts w:hint="eastAsia" w:ascii="宋体" w:cs="宋体"/>
              </w:rPr>
              <w:t>2</w:t>
            </w:r>
          </w:p>
        </w:tc>
        <w:tc>
          <w:tcPr>
            <w:tcW w:w="1576" w:type="pct"/>
            <w:tcMar>
              <w:top w:w="10" w:type="dxa"/>
              <w:left w:w="10" w:type="dxa"/>
              <w:bottom w:w="0" w:type="dxa"/>
              <w:right w:w="10" w:type="dxa"/>
            </w:tcMar>
            <w:vAlign w:val="center"/>
          </w:tcPr>
          <w:p w14:paraId="26F09ACE">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部门本年度结转结余资金总额与上年度结转结余资金总额的变动比率，用以反映和考核部门对控制结转结余资金的努力程度。</w:t>
            </w:r>
          </w:p>
        </w:tc>
        <w:tc>
          <w:tcPr>
            <w:tcW w:w="1867" w:type="pct"/>
            <w:tcMar>
              <w:top w:w="10" w:type="dxa"/>
              <w:left w:w="10" w:type="dxa"/>
              <w:bottom w:w="0" w:type="dxa"/>
              <w:right w:w="10" w:type="dxa"/>
            </w:tcMar>
            <w:vAlign w:val="center"/>
          </w:tcPr>
          <w:p w14:paraId="3017EB75">
            <w:pPr>
              <w:spacing w:line="240" w:lineRule="exact"/>
              <w:ind w:left="105" w:leftChars="50" w:right="105" w:rightChars="50"/>
              <w:rPr>
                <w:rFonts w:ascii="宋体" w:cs="宋体"/>
              </w:rPr>
            </w:pPr>
            <w:r>
              <w:rPr>
                <w:rFonts w:hint="eastAsia" w:ascii="宋体" w:hAnsi="宋体" w:cs="宋体"/>
              </w:rPr>
              <w:t>结转结余变动率</w:t>
            </w:r>
            <w:r>
              <w:rPr>
                <w:rFonts w:ascii="宋体" w:hAnsi="宋体" w:cs="宋体"/>
              </w:rPr>
              <w:t>=[</w:t>
            </w:r>
            <w:r>
              <w:rPr>
                <w:rFonts w:hint="eastAsia" w:ascii="宋体" w:hAnsi="宋体" w:cs="宋体"/>
              </w:rPr>
              <w:t>（本年度累计结转结余资金总额</w:t>
            </w:r>
            <w:r>
              <w:rPr>
                <w:rFonts w:ascii="宋体" w:hAnsi="宋体" w:cs="宋体"/>
              </w:rPr>
              <w:t>-</w:t>
            </w:r>
            <w:r>
              <w:rPr>
                <w:rFonts w:hint="eastAsia" w:ascii="宋体" w:hAnsi="宋体" w:cs="宋体"/>
              </w:rPr>
              <w:t>上年度累计结转结余资金总额）</w:t>
            </w:r>
            <w:r>
              <w:rPr>
                <w:rFonts w:ascii="宋体" w:hAnsi="宋体" w:cs="宋体"/>
              </w:rPr>
              <w:t>/</w:t>
            </w:r>
            <w:r>
              <w:rPr>
                <w:rFonts w:hint="eastAsia" w:ascii="宋体" w:hAnsi="宋体" w:cs="宋体"/>
              </w:rPr>
              <w:t>上年度累计结转结余资金总额</w:t>
            </w:r>
            <w:r>
              <w:rPr>
                <w:rFonts w:ascii="宋体" w:hAnsi="宋体" w:cs="宋体"/>
              </w:rPr>
              <w:t>]</w:t>
            </w:r>
            <w:r>
              <w:rPr>
                <w:rFonts w:hint="eastAsia" w:ascii="宋体" w:hAnsi="宋体" w:cs="宋体"/>
              </w:rPr>
              <w:t>×</w:t>
            </w:r>
            <w:r>
              <w:rPr>
                <w:rFonts w:ascii="宋体" w:hAnsi="宋体" w:cs="宋体"/>
              </w:rPr>
              <w:t>100%</w:t>
            </w:r>
            <w:r>
              <w:rPr>
                <w:rFonts w:hint="eastAsia" w:ascii="宋体" w:hAnsi="宋体" w:cs="宋体"/>
              </w:rPr>
              <w:t>。</w:t>
            </w:r>
          </w:p>
        </w:tc>
      </w:tr>
      <w:tr w14:paraId="335F8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15" w:hRule="atLeast"/>
          <w:jc w:val="center"/>
        </w:trPr>
        <w:tc>
          <w:tcPr>
            <w:tcW w:w="307" w:type="pct"/>
            <w:vMerge w:val="continue"/>
            <w:vAlign w:val="center"/>
          </w:tcPr>
          <w:p w14:paraId="64942768">
            <w:pPr>
              <w:spacing w:line="240" w:lineRule="exact"/>
              <w:jc w:val="center"/>
              <w:rPr>
                <w:rFonts w:ascii="宋体" w:cs="宋体"/>
              </w:rPr>
            </w:pPr>
          </w:p>
        </w:tc>
        <w:tc>
          <w:tcPr>
            <w:tcW w:w="375" w:type="pct"/>
            <w:vMerge w:val="continue"/>
            <w:vAlign w:val="center"/>
          </w:tcPr>
          <w:p w14:paraId="5A6C5534">
            <w:pPr>
              <w:spacing w:line="240" w:lineRule="exact"/>
              <w:rPr>
                <w:rFonts w:ascii="宋体" w:cs="宋体"/>
              </w:rPr>
            </w:pPr>
          </w:p>
        </w:tc>
        <w:tc>
          <w:tcPr>
            <w:tcW w:w="500" w:type="pct"/>
            <w:tcMar>
              <w:top w:w="10" w:type="dxa"/>
              <w:left w:w="10" w:type="dxa"/>
              <w:bottom w:w="0" w:type="dxa"/>
              <w:right w:w="10" w:type="dxa"/>
            </w:tcMar>
            <w:vAlign w:val="center"/>
          </w:tcPr>
          <w:p w14:paraId="7552353B">
            <w:pPr>
              <w:spacing w:line="240" w:lineRule="exact"/>
              <w:jc w:val="center"/>
              <w:rPr>
                <w:rFonts w:ascii="宋体" w:cs="宋体"/>
              </w:rPr>
            </w:pPr>
            <w:r>
              <w:rPr>
                <w:rFonts w:hint="eastAsia" w:ascii="宋体" w:hAnsi="宋体" w:cs="宋体"/>
              </w:rPr>
              <w:t>公用经费</w:t>
            </w:r>
          </w:p>
          <w:p w14:paraId="04731787">
            <w:pPr>
              <w:spacing w:line="240" w:lineRule="exact"/>
              <w:jc w:val="center"/>
              <w:rPr>
                <w:rFonts w:ascii="宋体" w:cs="宋体"/>
              </w:rPr>
            </w:pPr>
            <w:r>
              <w:rPr>
                <w:rFonts w:hint="eastAsia" w:ascii="宋体" w:hAnsi="宋体" w:cs="宋体"/>
              </w:rPr>
              <w:t>控制率（</w:t>
            </w:r>
            <w:r>
              <w:rPr>
                <w:rFonts w:ascii="宋体" w:hAnsi="宋体" w:cs="宋体"/>
              </w:rPr>
              <w:t>2</w:t>
            </w:r>
            <w:r>
              <w:rPr>
                <w:rFonts w:hint="eastAsia" w:ascii="宋体" w:hAnsi="宋体" w:cs="宋体"/>
              </w:rPr>
              <w:t>分）</w:t>
            </w:r>
          </w:p>
        </w:tc>
        <w:tc>
          <w:tcPr>
            <w:tcW w:w="375" w:type="pct"/>
            <w:tcMar>
              <w:top w:w="10" w:type="dxa"/>
              <w:left w:w="10" w:type="dxa"/>
              <w:bottom w:w="0" w:type="dxa"/>
              <w:right w:w="10" w:type="dxa"/>
            </w:tcMar>
          </w:tcPr>
          <w:p w14:paraId="697BD47B">
            <w:pPr>
              <w:tabs>
                <w:tab w:val="left" w:pos="2604"/>
              </w:tabs>
              <w:spacing w:line="240" w:lineRule="exact"/>
              <w:ind w:left="105" w:leftChars="50" w:right="105" w:rightChars="50" w:firstLine="96" w:firstLineChars="46"/>
              <w:rPr>
                <w:rFonts w:ascii="宋体" w:cs="宋体"/>
              </w:rPr>
            </w:pPr>
          </w:p>
          <w:p w14:paraId="7958BDD1">
            <w:pPr>
              <w:tabs>
                <w:tab w:val="left" w:pos="2604"/>
              </w:tabs>
              <w:spacing w:line="240" w:lineRule="exact"/>
              <w:ind w:left="105" w:leftChars="50" w:right="105" w:rightChars="50" w:firstLine="96" w:firstLineChars="46"/>
              <w:rPr>
                <w:rFonts w:ascii="宋体" w:cs="宋体"/>
              </w:rPr>
            </w:pPr>
          </w:p>
          <w:p w14:paraId="49700C3A">
            <w:pPr>
              <w:tabs>
                <w:tab w:val="left" w:pos="2604"/>
              </w:tabs>
              <w:spacing w:line="240" w:lineRule="exact"/>
              <w:ind w:left="105" w:leftChars="50" w:right="105" w:rightChars="50" w:firstLine="96" w:firstLineChars="46"/>
              <w:rPr>
                <w:rFonts w:ascii="宋体" w:cs="宋体"/>
              </w:rPr>
            </w:pPr>
            <w:r>
              <w:rPr>
                <w:rFonts w:hint="eastAsia" w:ascii="宋体" w:cs="宋体"/>
              </w:rPr>
              <w:t>2</w:t>
            </w:r>
          </w:p>
        </w:tc>
        <w:tc>
          <w:tcPr>
            <w:tcW w:w="1576" w:type="pct"/>
            <w:tcMar>
              <w:top w:w="10" w:type="dxa"/>
              <w:left w:w="10" w:type="dxa"/>
              <w:bottom w:w="0" w:type="dxa"/>
              <w:right w:w="10" w:type="dxa"/>
            </w:tcMar>
            <w:vAlign w:val="center"/>
          </w:tcPr>
          <w:p w14:paraId="4F4B7CD1">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部门本年度实际支出的公用经费总额与预算安排的公用经费总额的比率，用以反映和考核部门对机构运转成本的实际控制程度。</w:t>
            </w:r>
          </w:p>
        </w:tc>
        <w:tc>
          <w:tcPr>
            <w:tcW w:w="1867" w:type="pct"/>
            <w:tcMar>
              <w:top w:w="10" w:type="dxa"/>
              <w:left w:w="10" w:type="dxa"/>
              <w:bottom w:w="0" w:type="dxa"/>
              <w:right w:w="10" w:type="dxa"/>
            </w:tcMar>
            <w:vAlign w:val="center"/>
          </w:tcPr>
          <w:p w14:paraId="79495BED">
            <w:pPr>
              <w:spacing w:line="240" w:lineRule="exact"/>
              <w:ind w:left="105" w:leftChars="50" w:right="105" w:rightChars="50"/>
              <w:rPr>
                <w:rFonts w:ascii="宋体" w:cs="宋体"/>
              </w:rPr>
            </w:pPr>
            <w:r>
              <w:rPr>
                <w:rFonts w:hint="eastAsia" w:ascii="宋体" w:hAnsi="宋体" w:cs="宋体"/>
              </w:rPr>
              <w:t>公用经费控制率</w:t>
            </w:r>
            <w:r>
              <w:rPr>
                <w:rFonts w:ascii="宋体" w:hAnsi="宋体" w:cs="宋体"/>
              </w:rPr>
              <w:t>=</w:t>
            </w:r>
            <w:r>
              <w:rPr>
                <w:rFonts w:hint="eastAsia" w:ascii="宋体" w:hAnsi="宋体" w:cs="宋体"/>
              </w:rPr>
              <w:t>（实际支出公用经费总额</w:t>
            </w:r>
            <w:r>
              <w:rPr>
                <w:rFonts w:ascii="宋体" w:hAnsi="宋体" w:cs="宋体"/>
              </w:rPr>
              <w:t>/</w:t>
            </w:r>
            <w:r>
              <w:rPr>
                <w:rFonts w:hint="eastAsia" w:ascii="宋体" w:hAnsi="宋体" w:cs="宋体"/>
              </w:rPr>
              <w:t>预算安排公用经费总额）×</w:t>
            </w:r>
            <w:r>
              <w:rPr>
                <w:rFonts w:ascii="宋体" w:hAnsi="宋体" w:cs="宋体"/>
              </w:rPr>
              <w:t>100%</w:t>
            </w:r>
            <w:r>
              <w:rPr>
                <w:rFonts w:hint="eastAsia" w:ascii="宋体" w:hAnsi="宋体" w:cs="宋体"/>
              </w:rPr>
              <w:t>。</w:t>
            </w:r>
          </w:p>
        </w:tc>
      </w:tr>
      <w:tr w14:paraId="62CF3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8" w:hRule="atLeast"/>
          <w:jc w:val="center"/>
        </w:trPr>
        <w:tc>
          <w:tcPr>
            <w:tcW w:w="307" w:type="pct"/>
            <w:vMerge w:val="continue"/>
            <w:vAlign w:val="center"/>
          </w:tcPr>
          <w:p w14:paraId="6E589789">
            <w:pPr>
              <w:spacing w:line="240" w:lineRule="exact"/>
              <w:jc w:val="center"/>
              <w:rPr>
                <w:rFonts w:ascii="宋体" w:cs="宋体"/>
              </w:rPr>
            </w:pPr>
          </w:p>
        </w:tc>
        <w:tc>
          <w:tcPr>
            <w:tcW w:w="375" w:type="pct"/>
            <w:vMerge w:val="continue"/>
            <w:vAlign w:val="center"/>
          </w:tcPr>
          <w:p w14:paraId="08249837">
            <w:pPr>
              <w:spacing w:line="240" w:lineRule="exact"/>
              <w:jc w:val="center"/>
              <w:rPr>
                <w:rFonts w:ascii="宋体" w:cs="宋体"/>
              </w:rPr>
            </w:pPr>
          </w:p>
        </w:tc>
        <w:tc>
          <w:tcPr>
            <w:tcW w:w="500" w:type="pct"/>
            <w:tcMar>
              <w:top w:w="10" w:type="dxa"/>
              <w:left w:w="10" w:type="dxa"/>
              <w:bottom w:w="0" w:type="dxa"/>
              <w:right w:w="10" w:type="dxa"/>
            </w:tcMar>
            <w:vAlign w:val="center"/>
          </w:tcPr>
          <w:p w14:paraId="3BFD5F5A">
            <w:pPr>
              <w:spacing w:line="240" w:lineRule="exact"/>
              <w:jc w:val="center"/>
              <w:rPr>
                <w:rFonts w:ascii="宋体" w:cs="宋体"/>
              </w:rPr>
            </w:pPr>
            <w:r>
              <w:rPr>
                <w:rFonts w:hint="eastAsia" w:ascii="宋体" w:hAnsi="宋体" w:cs="宋体"/>
              </w:rPr>
              <w:t>“三公经费”控制率（</w:t>
            </w:r>
            <w:r>
              <w:rPr>
                <w:rFonts w:ascii="宋体" w:hAnsi="宋体" w:cs="宋体"/>
              </w:rPr>
              <w:t>2</w:t>
            </w:r>
            <w:r>
              <w:rPr>
                <w:rFonts w:hint="eastAsia" w:ascii="宋体" w:hAnsi="宋体" w:cs="宋体"/>
              </w:rPr>
              <w:t>分）</w:t>
            </w:r>
          </w:p>
        </w:tc>
        <w:tc>
          <w:tcPr>
            <w:tcW w:w="375" w:type="pct"/>
            <w:tcMar>
              <w:top w:w="10" w:type="dxa"/>
              <w:left w:w="10" w:type="dxa"/>
              <w:bottom w:w="0" w:type="dxa"/>
              <w:right w:w="10" w:type="dxa"/>
            </w:tcMar>
          </w:tcPr>
          <w:p w14:paraId="31793554">
            <w:pPr>
              <w:tabs>
                <w:tab w:val="left" w:pos="2604"/>
              </w:tabs>
              <w:spacing w:line="240" w:lineRule="exact"/>
              <w:ind w:left="105" w:leftChars="50" w:right="105" w:rightChars="50" w:firstLine="96" w:firstLineChars="46"/>
              <w:rPr>
                <w:rFonts w:ascii="宋体" w:cs="宋体"/>
              </w:rPr>
            </w:pPr>
          </w:p>
          <w:p w14:paraId="61EF8FA3">
            <w:pPr>
              <w:tabs>
                <w:tab w:val="left" w:pos="2604"/>
              </w:tabs>
              <w:spacing w:line="240" w:lineRule="exact"/>
              <w:ind w:left="105" w:leftChars="50" w:right="105" w:rightChars="50" w:firstLine="96" w:firstLineChars="46"/>
              <w:rPr>
                <w:rFonts w:ascii="宋体" w:cs="宋体"/>
              </w:rPr>
            </w:pPr>
          </w:p>
          <w:p w14:paraId="019D3BD2">
            <w:pPr>
              <w:tabs>
                <w:tab w:val="left" w:pos="2604"/>
              </w:tabs>
              <w:spacing w:line="240" w:lineRule="exact"/>
              <w:ind w:left="105" w:leftChars="50" w:right="105" w:rightChars="50" w:firstLine="96" w:firstLineChars="46"/>
              <w:rPr>
                <w:rFonts w:ascii="宋体" w:cs="宋体"/>
              </w:rPr>
            </w:pPr>
            <w:r>
              <w:rPr>
                <w:rFonts w:hint="eastAsia" w:ascii="宋体" w:cs="宋体"/>
              </w:rPr>
              <w:t>2</w:t>
            </w:r>
          </w:p>
        </w:tc>
        <w:tc>
          <w:tcPr>
            <w:tcW w:w="1576" w:type="pct"/>
            <w:tcMar>
              <w:top w:w="10" w:type="dxa"/>
              <w:left w:w="10" w:type="dxa"/>
              <w:bottom w:w="0" w:type="dxa"/>
              <w:right w:w="10" w:type="dxa"/>
            </w:tcMar>
            <w:vAlign w:val="center"/>
          </w:tcPr>
          <w:p w14:paraId="5593853C">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部门本年度“三公经费”实际支出数与预算安排数的比率，用以反映和考核部门对“三公经费”的实际控制程度。</w:t>
            </w:r>
          </w:p>
        </w:tc>
        <w:tc>
          <w:tcPr>
            <w:tcW w:w="1867" w:type="pct"/>
            <w:tcMar>
              <w:top w:w="10" w:type="dxa"/>
              <w:left w:w="10" w:type="dxa"/>
              <w:bottom w:w="0" w:type="dxa"/>
              <w:right w:w="10" w:type="dxa"/>
            </w:tcMar>
            <w:vAlign w:val="center"/>
          </w:tcPr>
          <w:p w14:paraId="650A1ED7">
            <w:pPr>
              <w:spacing w:line="240" w:lineRule="exact"/>
              <w:ind w:left="105" w:leftChars="50" w:right="105" w:rightChars="50"/>
              <w:rPr>
                <w:rFonts w:ascii="宋体" w:cs="宋体"/>
              </w:rPr>
            </w:pPr>
            <w:r>
              <w:rPr>
                <w:rFonts w:hint="eastAsia" w:ascii="宋体" w:hAnsi="宋体" w:cs="宋体"/>
              </w:rPr>
              <w:t>“三公经费”控制率</w:t>
            </w:r>
            <w:r>
              <w:rPr>
                <w:rFonts w:ascii="宋体" w:hAnsi="宋体" w:cs="宋体"/>
              </w:rPr>
              <w:t>=</w:t>
            </w:r>
            <w:r>
              <w:rPr>
                <w:rFonts w:hint="eastAsia" w:ascii="宋体" w:hAnsi="宋体" w:cs="宋体"/>
              </w:rPr>
              <w:t>（“三公经费”实际支出数</w:t>
            </w:r>
            <w:r>
              <w:rPr>
                <w:rFonts w:ascii="宋体" w:hAnsi="宋体" w:cs="宋体"/>
              </w:rPr>
              <w:t>/</w:t>
            </w:r>
            <w:r>
              <w:rPr>
                <w:rFonts w:hint="eastAsia" w:ascii="宋体" w:hAnsi="宋体" w:cs="宋体"/>
              </w:rPr>
              <w:t>“三公经费”预算安排数）×</w:t>
            </w:r>
            <w:r>
              <w:rPr>
                <w:rFonts w:ascii="宋体" w:hAnsi="宋体" w:cs="宋体"/>
              </w:rPr>
              <w:t>100%</w:t>
            </w:r>
            <w:r>
              <w:rPr>
                <w:rFonts w:hint="eastAsia" w:ascii="宋体" w:hAnsi="宋体" w:cs="宋体"/>
              </w:rPr>
              <w:t>。</w:t>
            </w:r>
          </w:p>
        </w:tc>
      </w:tr>
      <w:tr w14:paraId="7CE39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20" w:hRule="atLeast"/>
          <w:jc w:val="center"/>
        </w:trPr>
        <w:tc>
          <w:tcPr>
            <w:tcW w:w="307" w:type="pct"/>
            <w:vMerge w:val="continue"/>
            <w:vAlign w:val="center"/>
          </w:tcPr>
          <w:p w14:paraId="0EF9531D">
            <w:pPr>
              <w:spacing w:line="240" w:lineRule="exact"/>
              <w:jc w:val="center"/>
              <w:rPr>
                <w:rFonts w:ascii="宋体" w:cs="宋体"/>
              </w:rPr>
            </w:pPr>
          </w:p>
        </w:tc>
        <w:tc>
          <w:tcPr>
            <w:tcW w:w="375" w:type="pct"/>
            <w:vMerge w:val="continue"/>
            <w:vAlign w:val="center"/>
          </w:tcPr>
          <w:p w14:paraId="7EAB00A5">
            <w:pPr>
              <w:spacing w:line="240" w:lineRule="exact"/>
              <w:rPr>
                <w:rFonts w:ascii="宋体" w:cs="宋体"/>
              </w:rPr>
            </w:pPr>
          </w:p>
        </w:tc>
        <w:tc>
          <w:tcPr>
            <w:tcW w:w="500" w:type="pct"/>
            <w:tcMar>
              <w:top w:w="10" w:type="dxa"/>
              <w:left w:w="10" w:type="dxa"/>
              <w:bottom w:w="0" w:type="dxa"/>
              <w:right w:w="10" w:type="dxa"/>
            </w:tcMar>
            <w:vAlign w:val="center"/>
          </w:tcPr>
          <w:p w14:paraId="6E83AD18">
            <w:pPr>
              <w:spacing w:line="240" w:lineRule="exact"/>
              <w:jc w:val="center"/>
              <w:rPr>
                <w:rFonts w:ascii="宋体" w:cs="宋体"/>
              </w:rPr>
            </w:pPr>
            <w:r>
              <w:rPr>
                <w:rFonts w:hint="eastAsia" w:ascii="宋体" w:hAnsi="宋体" w:cs="宋体"/>
              </w:rPr>
              <w:t>政府采购</w:t>
            </w:r>
          </w:p>
          <w:p w14:paraId="613717DF">
            <w:pPr>
              <w:spacing w:line="240" w:lineRule="exact"/>
              <w:jc w:val="center"/>
              <w:rPr>
                <w:rFonts w:ascii="宋体" w:cs="宋体"/>
              </w:rPr>
            </w:pPr>
            <w:r>
              <w:rPr>
                <w:rFonts w:hint="eastAsia" w:ascii="宋体" w:hAnsi="宋体" w:cs="宋体"/>
              </w:rPr>
              <w:t>执行率（</w:t>
            </w:r>
            <w:r>
              <w:rPr>
                <w:rFonts w:ascii="宋体" w:hAnsi="宋体" w:cs="宋体"/>
              </w:rPr>
              <w:t>4</w:t>
            </w:r>
            <w:r>
              <w:rPr>
                <w:rFonts w:hint="eastAsia" w:ascii="宋体" w:hAnsi="宋体" w:cs="宋体"/>
              </w:rPr>
              <w:t>分）</w:t>
            </w:r>
          </w:p>
        </w:tc>
        <w:tc>
          <w:tcPr>
            <w:tcW w:w="375" w:type="pct"/>
            <w:tcMar>
              <w:top w:w="10" w:type="dxa"/>
              <w:left w:w="10" w:type="dxa"/>
              <w:bottom w:w="0" w:type="dxa"/>
              <w:right w:w="10" w:type="dxa"/>
            </w:tcMar>
          </w:tcPr>
          <w:p w14:paraId="4BB776C0">
            <w:pPr>
              <w:tabs>
                <w:tab w:val="left" w:pos="2604"/>
              </w:tabs>
              <w:spacing w:line="240" w:lineRule="exact"/>
              <w:ind w:left="105" w:leftChars="50" w:right="105" w:rightChars="50" w:firstLine="96" w:firstLineChars="46"/>
              <w:rPr>
                <w:rFonts w:ascii="宋体" w:cs="宋体"/>
              </w:rPr>
            </w:pPr>
          </w:p>
          <w:p w14:paraId="2E942838">
            <w:pPr>
              <w:tabs>
                <w:tab w:val="left" w:pos="2604"/>
              </w:tabs>
              <w:spacing w:line="240" w:lineRule="exact"/>
              <w:ind w:left="105" w:leftChars="50" w:right="105" w:rightChars="50" w:firstLine="96" w:firstLineChars="46"/>
              <w:rPr>
                <w:rFonts w:ascii="宋体" w:cs="宋体"/>
              </w:rPr>
            </w:pPr>
          </w:p>
          <w:p w14:paraId="03B4AA4C">
            <w:pPr>
              <w:tabs>
                <w:tab w:val="left" w:pos="2604"/>
              </w:tabs>
              <w:spacing w:line="240" w:lineRule="exact"/>
              <w:ind w:left="105" w:leftChars="50" w:right="105" w:rightChars="50" w:firstLine="96" w:firstLineChars="46"/>
              <w:rPr>
                <w:rFonts w:ascii="宋体" w:cs="宋体"/>
              </w:rPr>
            </w:pPr>
            <w:r>
              <w:rPr>
                <w:rFonts w:hint="eastAsia" w:ascii="宋体" w:cs="宋体"/>
              </w:rPr>
              <w:t>3</w:t>
            </w:r>
          </w:p>
        </w:tc>
        <w:tc>
          <w:tcPr>
            <w:tcW w:w="1576" w:type="pct"/>
            <w:tcMar>
              <w:top w:w="10" w:type="dxa"/>
              <w:left w:w="10" w:type="dxa"/>
              <w:bottom w:w="0" w:type="dxa"/>
              <w:right w:w="10" w:type="dxa"/>
            </w:tcMar>
            <w:vAlign w:val="center"/>
          </w:tcPr>
          <w:p w14:paraId="51DE8820">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部门本年度实际政府采购金额与年初政府采购预算的比率，用以反映和考核部门政府采购预算执行情况。</w:t>
            </w:r>
          </w:p>
        </w:tc>
        <w:tc>
          <w:tcPr>
            <w:tcW w:w="1867" w:type="pct"/>
            <w:tcMar>
              <w:top w:w="10" w:type="dxa"/>
              <w:left w:w="10" w:type="dxa"/>
              <w:bottom w:w="0" w:type="dxa"/>
              <w:right w:w="10" w:type="dxa"/>
            </w:tcMar>
            <w:vAlign w:val="center"/>
          </w:tcPr>
          <w:p w14:paraId="3EDC5AFF">
            <w:pPr>
              <w:spacing w:line="240" w:lineRule="exact"/>
              <w:ind w:left="105" w:leftChars="50" w:right="105" w:rightChars="50"/>
              <w:rPr>
                <w:rFonts w:ascii="宋体" w:hAnsi="宋体" w:cs="宋体"/>
              </w:rPr>
            </w:pPr>
            <w:r>
              <w:rPr>
                <w:rFonts w:hint="eastAsia" w:ascii="宋体" w:hAnsi="宋体" w:cs="宋体"/>
              </w:rPr>
              <w:t>政府采购执行率</w:t>
            </w:r>
            <w:r>
              <w:rPr>
                <w:rFonts w:ascii="宋体" w:hAnsi="宋体" w:cs="宋体"/>
              </w:rPr>
              <w:t>=</w:t>
            </w:r>
            <w:r>
              <w:rPr>
                <w:rFonts w:hint="eastAsia" w:ascii="宋体" w:hAnsi="宋体" w:cs="宋体"/>
              </w:rPr>
              <w:t>（实际政府采购金额</w:t>
            </w:r>
            <w:r>
              <w:rPr>
                <w:rFonts w:ascii="宋体" w:hAnsi="宋体" w:cs="宋体"/>
              </w:rPr>
              <w:t>/</w:t>
            </w:r>
            <w:r>
              <w:rPr>
                <w:rFonts w:hint="eastAsia" w:ascii="宋体" w:hAnsi="宋体" w:cs="宋体"/>
              </w:rPr>
              <w:t>政府采购预算数）×</w:t>
            </w:r>
            <w:r>
              <w:rPr>
                <w:rFonts w:ascii="宋体" w:hAnsi="宋体" w:cs="宋体"/>
              </w:rPr>
              <w:t>100%</w:t>
            </w:r>
            <w:r>
              <w:rPr>
                <w:rFonts w:hint="eastAsia" w:ascii="宋体" w:hAnsi="宋体" w:cs="宋体"/>
              </w:rPr>
              <w:t>；</w:t>
            </w:r>
          </w:p>
          <w:p w14:paraId="4A4B3D3B">
            <w:pPr>
              <w:spacing w:line="240" w:lineRule="exact"/>
              <w:ind w:left="105" w:leftChars="50" w:right="105" w:rightChars="50"/>
              <w:rPr>
                <w:rFonts w:ascii="宋体" w:hAnsi="宋体" w:cs="宋体"/>
              </w:rPr>
            </w:pPr>
            <w:r>
              <w:rPr>
                <w:rFonts w:hint="eastAsia" w:ascii="宋体" w:hAnsi="宋体" w:cs="宋体"/>
              </w:rPr>
              <w:t>政府采购预算：采购机关根据事业发展计划和行政任务编制的、并经过规定程序批准的年度政府采购计划。</w:t>
            </w:r>
          </w:p>
        </w:tc>
      </w:tr>
      <w:tr w14:paraId="58098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29" w:hRule="atLeast"/>
          <w:jc w:val="center"/>
        </w:trPr>
        <w:tc>
          <w:tcPr>
            <w:tcW w:w="307" w:type="pct"/>
            <w:vMerge w:val="restart"/>
            <w:vAlign w:val="center"/>
          </w:tcPr>
          <w:p w14:paraId="466CAC9A">
            <w:pPr>
              <w:spacing w:line="240" w:lineRule="exact"/>
              <w:jc w:val="center"/>
              <w:rPr>
                <w:rFonts w:ascii="宋体" w:cs="宋体"/>
              </w:rPr>
            </w:pPr>
            <w:r>
              <w:rPr>
                <w:rFonts w:hint="eastAsia" w:ascii="宋体" w:hAnsi="宋体" w:cs="宋体"/>
              </w:rPr>
              <w:t>过</w:t>
            </w:r>
          </w:p>
          <w:p w14:paraId="471885AA">
            <w:pPr>
              <w:spacing w:line="240" w:lineRule="exact"/>
              <w:jc w:val="center"/>
              <w:rPr>
                <w:rFonts w:ascii="宋体" w:cs="宋体"/>
              </w:rPr>
            </w:pPr>
            <w:r>
              <w:rPr>
                <w:rFonts w:hint="eastAsia" w:ascii="宋体" w:hAnsi="宋体" w:cs="宋体"/>
              </w:rPr>
              <w:t>程（</w:t>
            </w:r>
            <w:r>
              <w:rPr>
                <w:rFonts w:ascii="宋体" w:hAnsi="宋体" w:cs="宋体"/>
              </w:rPr>
              <w:t>30</w:t>
            </w:r>
            <w:r>
              <w:rPr>
                <w:rFonts w:hint="eastAsia" w:ascii="宋体" w:hAnsi="宋体" w:cs="宋体"/>
              </w:rPr>
              <w:t>分）</w:t>
            </w:r>
          </w:p>
        </w:tc>
        <w:tc>
          <w:tcPr>
            <w:tcW w:w="375" w:type="pct"/>
            <w:vMerge w:val="restart"/>
            <w:tcMar>
              <w:top w:w="10" w:type="dxa"/>
              <w:left w:w="10" w:type="dxa"/>
              <w:bottom w:w="0" w:type="dxa"/>
              <w:right w:w="10" w:type="dxa"/>
            </w:tcMar>
            <w:vAlign w:val="center"/>
          </w:tcPr>
          <w:p w14:paraId="399CDC35">
            <w:pPr>
              <w:spacing w:line="240" w:lineRule="exact"/>
              <w:jc w:val="center"/>
              <w:rPr>
                <w:rFonts w:ascii="宋体" w:hAnsi="宋体" w:cs="宋体"/>
              </w:rPr>
            </w:pPr>
            <w:r>
              <w:rPr>
                <w:rFonts w:hint="eastAsia" w:ascii="宋体" w:hAnsi="宋体" w:cs="宋体"/>
              </w:rPr>
              <w:t>预算</w:t>
            </w:r>
          </w:p>
          <w:p w14:paraId="0DBD7D37">
            <w:pPr>
              <w:spacing w:line="240" w:lineRule="exact"/>
              <w:jc w:val="center"/>
              <w:rPr>
                <w:rFonts w:ascii="宋体" w:cs="宋体"/>
              </w:rPr>
            </w:pPr>
            <w:r>
              <w:rPr>
                <w:rFonts w:hint="eastAsia" w:ascii="宋体" w:hAnsi="宋体" w:cs="宋体"/>
              </w:rPr>
              <w:t>管理（</w:t>
            </w:r>
            <w:r>
              <w:rPr>
                <w:rFonts w:ascii="宋体" w:hAnsi="宋体" w:cs="宋体"/>
              </w:rPr>
              <w:t>5</w:t>
            </w:r>
            <w:r>
              <w:rPr>
                <w:rFonts w:hint="eastAsia" w:ascii="宋体" w:hAnsi="宋体" w:cs="宋体"/>
              </w:rPr>
              <w:t>分）</w:t>
            </w:r>
          </w:p>
          <w:p w14:paraId="1E54A4DF">
            <w:pPr>
              <w:spacing w:line="240" w:lineRule="exact"/>
              <w:jc w:val="center"/>
              <w:rPr>
                <w:rFonts w:ascii="宋体" w:cs="宋体"/>
              </w:rPr>
            </w:pPr>
            <w:r>
              <w:rPr>
                <w:rFonts w:hint="eastAsia" w:ascii="宋体" w:hAnsi="宋体" w:cs="宋体"/>
              </w:rPr>
              <w:t>）</w:t>
            </w:r>
          </w:p>
        </w:tc>
        <w:tc>
          <w:tcPr>
            <w:tcW w:w="500" w:type="pct"/>
            <w:tcMar>
              <w:top w:w="10" w:type="dxa"/>
              <w:left w:w="10" w:type="dxa"/>
              <w:bottom w:w="0" w:type="dxa"/>
              <w:right w:w="10" w:type="dxa"/>
            </w:tcMar>
            <w:vAlign w:val="center"/>
          </w:tcPr>
          <w:p w14:paraId="391C10DB">
            <w:pPr>
              <w:spacing w:line="240" w:lineRule="exact"/>
              <w:jc w:val="center"/>
              <w:rPr>
                <w:rFonts w:ascii="宋体" w:cs="宋体"/>
              </w:rPr>
            </w:pPr>
            <w:r>
              <w:rPr>
                <w:rFonts w:hint="eastAsia" w:ascii="宋体" w:hAnsi="宋体" w:cs="宋体"/>
              </w:rPr>
              <w:t>管理制度</w:t>
            </w:r>
          </w:p>
          <w:p w14:paraId="72832474">
            <w:pPr>
              <w:spacing w:line="240" w:lineRule="exact"/>
              <w:jc w:val="center"/>
              <w:rPr>
                <w:rFonts w:ascii="宋体" w:cs="宋体"/>
              </w:rPr>
            </w:pPr>
            <w:r>
              <w:rPr>
                <w:rFonts w:hint="eastAsia" w:ascii="宋体" w:hAnsi="宋体" w:cs="宋体"/>
              </w:rPr>
              <w:t>健全性（</w:t>
            </w:r>
            <w:r>
              <w:rPr>
                <w:rFonts w:ascii="宋体" w:hAnsi="宋体" w:cs="宋体"/>
              </w:rPr>
              <w:t>2</w:t>
            </w:r>
            <w:r>
              <w:rPr>
                <w:rFonts w:hint="eastAsia" w:ascii="宋体" w:hAnsi="宋体" w:cs="宋体"/>
              </w:rPr>
              <w:t>分）</w:t>
            </w:r>
          </w:p>
        </w:tc>
        <w:tc>
          <w:tcPr>
            <w:tcW w:w="375" w:type="pct"/>
            <w:tcMar>
              <w:top w:w="10" w:type="dxa"/>
              <w:left w:w="10" w:type="dxa"/>
              <w:bottom w:w="0" w:type="dxa"/>
              <w:right w:w="10" w:type="dxa"/>
            </w:tcMar>
          </w:tcPr>
          <w:p w14:paraId="73E29684">
            <w:pPr>
              <w:tabs>
                <w:tab w:val="left" w:pos="2604"/>
              </w:tabs>
              <w:spacing w:line="240" w:lineRule="exact"/>
              <w:ind w:left="105" w:leftChars="50" w:right="105" w:rightChars="50" w:firstLine="96" w:firstLineChars="46"/>
              <w:rPr>
                <w:rFonts w:ascii="宋体" w:cs="宋体"/>
              </w:rPr>
            </w:pPr>
          </w:p>
          <w:p w14:paraId="45CCA8BD">
            <w:pPr>
              <w:tabs>
                <w:tab w:val="left" w:pos="2604"/>
              </w:tabs>
              <w:spacing w:line="240" w:lineRule="exact"/>
              <w:ind w:left="105" w:leftChars="50" w:right="105" w:rightChars="50" w:firstLine="96" w:firstLineChars="46"/>
              <w:rPr>
                <w:rFonts w:ascii="宋体" w:cs="宋体"/>
              </w:rPr>
            </w:pPr>
          </w:p>
          <w:p w14:paraId="032E8BC1">
            <w:pPr>
              <w:tabs>
                <w:tab w:val="left" w:pos="2604"/>
              </w:tabs>
              <w:spacing w:line="240" w:lineRule="exact"/>
              <w:ind w:left="105" w:leftChars="50" w:right="105" w:rightChars="50" w:firstLine="96" w:firstLineChars="46"/>
              <w:rPr>
                <w:rFonts w:ascii="宋体" w:cs="宋体"/>
              </w:rPr>
            </w:pPr>
          </w:p>
          <w:p w14:paraId="5451EAC2">
            <w:pPr>
              <w:tabs>
                <w:tab w:val="left" w:pos="2604"/>
              </w:tabs>
              <w:spacing w:line="240" w:lineRule="exact"/>
              <w:ind w:left="105" w:leftChars="50" w:right="105" w:rightChars="50" w:firstLine="96" w:firstLineChars="46"/>
              <w:rPr>
                <w:rFonts w:ascii="宋体" w:cs="宋体"/>
              </w:rPr>
            </w:pPr>
            <w:r>
              <w:rPr>
                <w:rFonts w:hint="eastAsia" w:ascii="宋体" w:cs="宋体"/>
              </w:rPr>
              <w:t>2</w:t>
            </w:r>
          </w:p>
        </w:tc>
        <w:tc>
          <w:tcPr>
            <w:tcW w:w="1576" w:type="pct"/>
            <w:tcMar>
              <w:top w:w="10" w:type="dxa"/>
              <w:left w:w="10" w:type="dxa"/>
              <w:bottom w:w="0" w:type="dxa"/>
              <w:right w:w="10" w:type="dxa"/>
            </w:tcMar>
            <w:vAlign w:val="center"/>
          </w:tcPr>
          <w:p w14:paraId="0979857D">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部门为加强预算管理、规范财务行为而制定的管理制度是否健全完整，用以反映和考核部门预算管理制度对完成主要职责或促进事业发展的保障情况。</w:t>
            </w:r>
          </w:p>
        </w:tc>
        <w:tc>
          <w:tcPr>
            <w:tcW w:w="1867" w:type="pct"/>
            <w:tcMar>
              <w:top w:w="10" w:type="dxa"/>
              <w:left w:w="10" w:type="dxa"/>
              <w:bottom w:w="0" w:type="dxa"/>
              <w:right w:w="10" w:type="dxa"/>
            </w:tcMar>
            <w:vAlign w:val="center"/>
          </w:tcPr>
          <w:p w14:paraId="50932449">
            <w:pPr>
              <w:spacing w:line="240" w:lineRule="exact"/>
              <w:ind w:left="105" w:leftChars="50" w:right="105" w:rightChars="50"/>
              <w:rPr>
                <w:rFonts w:ascii="宋体" w:hAnsi="宋体" w:cs="宋体"/>
              </w:rPr>
            </w:pPr>
            <w:r>
              <w:rPr>
                <w:rFonts w:hint="eastAsia" w:ascii="宋体" w:hAnsi="宋体" w:cs="宋体"/>
              </w:rPr>
              <w:t>评价要点：</w:t>
            </w:r>
          </w:p>
          <w:p w14:paraId="267DDBB7">
            <w:pPr>
              <w:spacing w:line="240" w:lineRule="exact"/>
              <w:ind w:left="105" w:leftChars="50" w:right="105" w:rightChars="50"/>
              <w:rPr>
                <w:rFonts w:ascii="宋体" w:hAnsi="宋体" w:cs="宋体"/>
              </w:rPr>
            </w:pPr>
            <w:r>
              <w:rPr>
                <w:rFonts w:hint="eastAsia" w:ascii="宋体" w:hAnsi="宋体" w:cs="宋体"/>
              </w:rPr>
              <w:t>①是否已制定或具有预算资金管理办法、内部财务管理制度、会计核算制度等管理制度；</w:t>
            </w:r>
          </w:p>
          <w:p w14:paraId="222078B6">
            <w:pPr>
              <w:spacing w:line="240" w:lineRule="exact"/>
              <w:ind w:left="105" w:leftChars="50" w:right="105" w:rightChars="50"/>
              <w:rPr>
                <w:rFonts w:ascii="宋体" w:hAnsi="宋体" w:cs="宋体"/>
              </w:rPr>
            </w:pPr>
            <w:r>
              <w:rPr>
                <w:rFonts w:hint="eastAsia" w:ascii="宋体" w:hAnsi="宋体" w:cs="宋体"/>
              </w:rPr>
              <w:t>②相关管理制度是否合法、合规、完整；</w:t>
            </w:r>
          </w:p>
          <w:p w14:paraId="01E97FEC">
            <w:pPr>
              <w:spacing w:line="240" w:lineRule="exact"/>
              <w:ind w:left="105" w:leftChars="50" w:right="105" w:rightChars="50"/>
              <w:rPr>
                <w:rFonts w:ascii="宋体" w:cs="宋体"/>
              </w:rPr>
            </w:pPr>
            <w:r>
              <w:rPr>
                <w:rFonts w:hint="eastAsia" w:ascii="宋体" w:hAnsi="宋体" w:cs="宋体"/>
              </w:rPr>
              <w:t>③相关管理制度是否得到有效执行。</w:t>
            </w:r>
          </w:p>
        </w:tc>
      </w:tr>
      <w:tr w14:paraId="25F33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37" w:hRule="atLeast"/>
          <w:jc w:val="center"/>
        </w:trPr>
        <w:tc>
          <w:tcPr>
            <w:tcW w:w="307" w:type="pct"/>
            <w:vMerge w:val="continue"/>
            <w:vAlign w:val="center"/>
          </w:tcPr>
          <w:p w14:paraId="75CA2E56">
            <w:pPr>
              <w:spacing w:line="240" w:lineRule="exact"/>
              <w:jc w:val="center"/>
              <w:rPr>
                <w:rFonts w:ascii="宋体" w:cs="宋体"/>
              </w:rPr>
            </w:pPr>
          </w:p>
        </w:tc>
        <w:tc>
          <w:tcPr>
            <w:tcW w:w="375" w:type="pct"/>
            <w:vMerge w:val="continue"/>
            <w:vAlign w:val="center"/>
          </w:tcPr>
          <w:p w14:paraId="36F274A6">
            <w:pPr>
              <w:spacing w:line="240" w:lineRule="exact"/>
              <w:jc w:val="center"/>
              <w:rPr>
                <w:rFonts w:ascii="宋体" w:cs="宋体"/>
              </w:rPr>
            </w:pPr>
          </w:p>
        </w:tc>
        <w:tc>
          <w:tcPr>
            <w:tcW w:w="500" w:type="pct"/>
            <w:tcMar>
              <w:top w:w="10" w:type="dxa"/>
              <w:left w:w="10" w:type="dxa"/>
              <w:bottom w:w="0" w:type="dxa"/>
              <w:right w:w="10" w:type="dxa"/>
            </w:tcMar>
            <w:vAlign w:val="center"/>
          </w:tcPr>
          <w:p w14:paraId="2C7B72E0">
            <w:pPr>
              <w:spacing w:line="240" w:lineRule="exact"/>
              <w:jc w:val="center"/>
              <w:rPr>
                <w:rFonts w:ascii="宋体" w:cs="宋体"/>
              </w:rPr>
            </w:pPr>
            <w:r>
              <w:rPr>
                <w:rFonts w:hint="eastAsia" w:ascii="宋体" w:hAnsi="宋体" w:cs="宋体"/>
              </w:rPr>
              <w:t>资金使用</w:t>
            </w:r>
          </w:p>
          <w:p w14:paraId="4908B7B1">
            <w:pPr>
              <w:spacing w:line="240" w:lineRule="exact"/>
              <w:jc w:val="center"/>
              <w:rPr>
                <w:rFonts w:ascii="宋体" w:cs="宋体"/>
              </w:rPr>
            </w:pPr>
            <w:r>
              <w:rPr>
                <w:rFonts w:hint="eastAsia" w:ascii="宋体" w:hAnsi="宋体" w:cs="宋体"/>
              </w:rPr>
              <w:t>合规性（</w:t>
            </w:r>
            <w:r>
              <w:rPr>
                <w:rFonts w:ascii="宋体" w:hAnsi="宋体" w:cs="宋体"/>
              </w:rPr>
              <w:t>1</w:t>
            </w:r>
            <w:r>
              <w:rPr>
                <w:rFonts w:hint="eastAsia" w:ascii="宋体" w:hAnsi="宋体" w:cs="宋体"/>
              </w:rPr>
              <w:t>分）</w:t>
            </w:r>
          </w:p>
        </w:tc>
        <w:tc>
          <w:tcPr>
            <w:tcW w:w="375" w:type="pct"/>
            <w:tcMar>
              <w:top w:w="10" w:type="dxa"/>
              <w:left w:w="10" w:type="dxa"/>
              <w:bottom w:w="0" w:type="dxa"/>
              <w:right w:w="10" w:type="dxa"/>
            </w:tcMar>
          </w:tcPr>
          <w:p w14:paraId="17602655">
            <w:pPr>
              <w:tabs>
                <w:tab w:val="left" w:pos="2604"/>
              </w:tabs>
              <w:spacing w:line="240" w:lineRule="exact"/>
              <w:ind w:left="105" w:leftChars="50" w:right="105" w:rightChars="50" w:firstLine="96" w:firstLineChars="46"/>
              <w:rPr>
                <w:rFonts w:ascii="宋体" w:cs="宋体"/>
              </w:rPr>
            </w:pPr>
          </w:p>
          <w:p w14:paraId="6A16D9D7">
            <w:pPr>
              <w:tabs>
                <w:tab w:val="left" w:pos="2604"/>
              </w:tabs>
              <w:spacing w:line="240" w:lineRule="exact"/>
              <w:ind w:left="105" w:leftChars="50" w:right="105" w:rightChars="50" w:firstLine="96" w:firstLineChars="46"/>
              <w:rPr>
                <w:rFonts w:ascii="宋体" w:cs="宋体"/>
              </w:rPr>
            </w:pPr>
          </w:p>
          <w:p w14:paraId="15F7C06C">
            <w:pPr>
              <w:tabs>
                <w:tab w:val="left" w:pos="2604"/>
              </w:tabs>
              <w:spacing w:line="240" w:lineRule="exact"/>
              <w:ind w:left="105" w:leftChars="50" w:right="105" w:rightChars="50" w:firstLine="96" w:firstLineChars="46"/>
              <w:rPr>
                <w:rFonts w:ascii="宋体" w:cs="宋体"/>
              </w:rPr>
            </w:pPr>
          </w:p>
          <w:p w14:paraId="4A05D8D5">
            <w:pPr>
              <w:tabs>
                <w:tab w:val="left" w:pos="2604"/>
              </w:tabs>
              <w:spacing w:line="240" w:lineRule="exact"/>
              <w:ind w:left="105" w:leftChars="50" w:right="105" w:rightChars="50" w:firstLine="96" w:firstLineChars="46"/>
              <w:rPr>
                <w:rFonts w:ascii="宋体" w:cs="宋体"/>
              </w:rPr>
            </w:pPr>
          </w:p>
          <w:p w14:paraId="783FB6C8">
            <w:pPr>
              <w:tabs>
                <w:tab w:val="left" w:pos="2604"/>
              </w:tabs>
              <w:spacing w:line="240" w:lineRule="exact"/>
              <w:ind w:left="105" w:leftChars="50" w:right="105" w:rightChars="50" w:firstLine="96" w:firstLineChars="46"/>
              <w:rPr>
                <w:rFonts w:ascii="宋体" w:cs="宋体"/>
              </w:rPr>
            </w:pPr>
          </w:p>
          <w:p w14:paraId="35A63FD5">
            <w:pPr>
              <w:tabs>
                <w:tab w:val="left" w:pos="2604"/>
              </w:tabs>
              <w:spacing w:line="240" w:lineRule="exact"/>
              <w:ind w:left="105" w:leftChars="50" w:right="105" w:rightChars="50" w:firstLine="96" w:firstLineChars="46"/>
              <w:rPr>
                <w:rFonts w:ascii="宋体" w:cs="宋体"/>
              </w:rPr>
            </w:pPr>
            <w:r>
              <w:rPr>
                <w:rFonts w:hint="eastAsia" w:ascii="宋体" w:cs="宋体"/>
              </w:rPr>
              <w:t>1</w:t>
            </w:r>
          </w:p>
        </w:tc>
        <w:tc>
          <w:tcPr>
            <w:tcW w:w="1576" w:type="pct"/>
            <w:tcMar>
              <w:top w:w="10" w:type="dxa"/>
              <w:left w:w="10" w:type="dxa"/>
              <w:bottom w:w="0" w:type="dxa"/>
              <w:right w:w="10" w:type="dxa"/>
            </w:tcMar>
            <w:vAlign w:val="center"/>
          </w:tcPr>
          <w:p w14:paraId="0B630883">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部门使用预算资金是否符合相关的预算财务管理制度的规定，用以反映和考核部门预算资金的规范运行情况。</w:t>
            </w:r>
          </w:p>
        </w:tc>
        <w:tc>
          <w:tcPr>
            <w:tcW w:w="1867" w:type="pct"/>
            <w:tcMar>
              <w:top w:w="10" w:type="dxa"/>
              <w:left w:w="10" w:type="dxa"/>
              <w:bottom w:w="0" w:type="dxa"/>
              <w:right w:w="10" w:type="dxa"/>
            </w:tcMar>
            <w:vAlign w:val="center"/>
          </w:tcPr>
          <w:p w14:paraId="756FAC5C">
            <w:pPr>
              <w:spacing w:line="240" w:lineRule="exact"/>
              <w:ind w:left="105" w:leftChars="50" w:right="105" w:rightChars="50"/>
              <w:rPr>
                <w:rFonts w:ascii="宋体" w:hAnsi="宋体" w:cs="宋体"/>
              </w:rPr>
            </w:pPr>
            <w:r>
              <w:rPr>
                <w:rFonts w:hint="eastAsia" w:ascii="宋体" w:hAnsi="宋体" w:cs="宋体"/>
              </w:rPr>
              <w:t>评价要点：</w:t>
            </w:r>
          </w:p>
          <w:p w14:paraId="6C84570D">
            <w:pPr>
              <w:spacing w:line="240" w:lineRule="exact"/>
              <w:ind w:left="105" w:leftChars="50" w:right="105" w:rightChars="50"/>
              <w:rPr>
                <w:rFonts w:ascii="宋体" w:hAnsi="宋体" w:cs="宋体"/>
              </w:rPr>
            </w:pPr>
            <w:r>
              <w:rPr>
                <w:rFonts w:hint="eastAsia" w:ascii="宋体" w:hAnsi="宋体" w:cs="宋体"/>
              </w:rPr>
              <w:t>①是否符合国家财经法规和财务管理制度规定以及有关预算支出管理办法的规定；</w:t>
            </w:r>
          </w:p>
          <w:p w14:paraId="1A934A49">
            <w:pPr>
              <w:spacing w:line="240" w:lineRule="exact"/>
              <w:ind w:left="105" w:leftChars="50" w:right="105" w:rightChars="50"/>
              <w:rPr>
                <w:rFonts w:ascii="宋体" w:hAnsi="宋体" w:cs="宋体"/>
              </w:rPr>
            </w:pPr>
            <w:r>
              <w:rPr>
                <w:rFonts w:hint="eastAsia" w:ascii="宋体" w:hAnsi="宋体" w:cs="宋体"/>
              </w:rPr>
              <w:t>②资金的拨付是否有完整的审批程序和手续；</w:t>
            </w:r>
          </w:p>
          <w:p w14:paraId="0E26079E">
            <w:pPr>
              <w:spacing w:line="240" w:lineRule="exact"/>
              <w:ind w:left="105" w:leftChars="50" w:right="105" w:rightChars="50"/>
              <w:rPr>
                <w:rFonts w:ascii="宋体" w:hAnsi="宋体" w:cs="宋体"/>
              </w:rPr>
            </w:pPr>
            <w:r>
              <w:rPr>
                <w:rFonts w:hint="eastAsia" w:ascii="宋体" w:hAnsi="宋体" w:cs="宋体"/>
              </w:rPr>
              <w:t>③预算支出的重大开支是否经过评估论证；</w:t>
            </w:r>
          </w:p>
          <w:p w14:paraId="100B3E5E">
            <w:pPr>
              <w:spacing w:line="240" w:lineRule="exact"/>
              <w:ind w:left="105" w:leftChars="50" w:right="105" w:rightChars="50"/>
              <w:rPr>
                <w:rFonts w:ascii="宋体" w:hAnsi="宋体" w:cs="宋体"/>
              </w:rPr>
            </w:pPr>
            <w:r>
              <w:rPr>
                <w:rFonts w:hint="eastAsia" w:ascii="宋体" w:hAnsi="宋体" w:cs="宋体"/>
              </w:rPr>
              <w:t>④是否符合部门预算批复的用途；</w:t>
            </w:r>
          </w:p>
          <w:p w14:paraId="6826F0FB">
            <w:pPr>
              <w:spacing w:line="240" w:lineRule="exact"/>
              <w:ind w:left="105" w:leftChars="50" w:right="105" w:rightChars="50"/>
              <w:rPr>
                <w:rFonts w:ascii="宋体" w:cs="宋体"/>
              </w:rPr>
            </w:pPr>
            <w:r>
              <w:rPr>
                <w:rFonts w:hint="eastAsia" w:ascii="宋体" w:hAnsi="宋体" w:cs="宋体"/>
              </w:rPr>
              <w:t>⑤是否存在截留、挤占、挪用、虚列支出等情况。</w:t>
            </w:r>
          </w:p>
        </w:tc>
      </w:tr>
      <w:tr w14:paraId="258B3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72" w:hRule="atLeast"/>
          <w:jc w:val="center"/>
        </w:trPr>
        <w:tc>
          <w:tcPr>
            <w:tcW w:w="307" w:type="pct"/>
            <w:vMerge w:val="continue"/>
            <w:vAlign w:val="center"/>
          </w:tcPr>
          <w:p w14:paraId="6F49B228">
            <w:pPr>
              <w:spacing w:line="240" w:lineRule="exact"/>
              <w:jc w:val="center"/>
              <w:rPr>
                <w:rFonts w:ascii="宋体" w:cs="宋体"/>
              </w:rPr>
            </w:pPr>
          </w:p>
        </w:tc>
        <w:tc>
          <w:tcPr>
            <w:tcW w:w="375" w:type="pct"/>
            <w:vMerge w:val="continue"/>
            <w:vAlign w:val="center"/>
          </w:tcPr>
          <w:p w14:paraId="309F45B9">
            <w:pPr>
              <w:spacing w:line="240" w:lineRule="exact"/>
              <w:rPr>
                <w:rFonts w:ascii="宋体" w:cs="宋体"/>
              </w:rPr>
            </w:pPr>
          </w:p>
        </w:tc>
        <w:tc>
          <w:tcPr>
            <w:tcW w:w="500" w:type="pct"/>
            <w:tcMar>
              <w:top w:w="10" w:type="dxa"/>
              <w:left w:w="10" w:type="dxa"/>
              <w:bottom w:w="0" w:type="dxa"/>
              <w:right w:w="10" w:type="dxa"/>
            </w:tcMar>
            <w:vAlign w:val="center"/>
          </w:tcPr>
          <w:p w14:paraId="131BE47D">
            <w:pPr>
              <w:spacing w:line="240" w:lineRule="exact"/>
              <w:jc w:val="center"/>
              <w:rPr>
                <w:rFonts w:ascii="宋体" w:cs="宋体"/>
              </w:rPr>
            </w:pPr>
            <w:r>
              <w:rPr>
                <w:rFonts w:hint="eastAsia" w:ascii="宋体" w:hAnsi="宋体" w:cs="宋体"/>
              </w:rPr>
              <w:t>预决算信</w:t>
            </w:r>
          </w:p>
          <w:p w14:paraId="4C055B5C">
            <w:pPr>
              <w:spacing w:line="240" w:lineRule="exact"/>
              <w:jc w:val="center"/>
              <w:rPr>
                <w:rFonts w:ascii="宋体" w:cs="宋体"/>
              </w:rPr>
            </w:pPr>
            <w:r>
              <w:rPr>
                <w:rFonts w:hint="eastAsia" w:ascii="宋体" w:hAnsi="宋体" w:cs="宋体"/>
              </w:rPr>
              <w:t>息公开性（</w:t>
            </w:r>
            <w:r>
              <w:rPr>
                <w:rFonts w:ascii="宋体" w:hAnsi="宋体" w:cs="宋体"/>
              </w:rPr>
              <w:t>1</w:t>
            </w:r>
            <w:r>
              <w:rPr>
                <w:rFonts w:hint="eastAsia" w:ascii="宋体" w:hAnsi="宋体" w:cs="宋体"/>
              </w:rPr>
              <w:t>分）</w:t>
            </w:r>
          </w:p>
        </w:tc>
        <w:tc>
          <w:tcPr>
            <w:tcW w:w="375" w:type="pct"/>
            <w:tcMar>
              <w:top w:w="10" w:type="dxa"/>
              <w:left w:w="10" w:type="dxa"/>
              <w:bottom w:w="0" w:type="dxa"/>
              <w:right w:w="10" w:type="dxa"/>
            </w:tcMar>
          </w:tcPr>
          <w:p w14:paraId="676797D1">
            <w:pPr>
              <w:tabs>
                <w:tab w:val="left" w:pos="2604"/>
              </w:tabs>
              <w:spacing w:line="240" w:lineRule="exact"/>
              <w:ind w:left="105" w:leftChars="50" w:right="105" w:rightChars="50" w:firstLine="96" w:firstLineChars="46"/>
              <w:rPr>
                <w:rFonts w:ascii="宋体" w:cs="宋体"/>
              </w:rPr>
            </w:pPr>
          </w:p>
          <w:p w14:paraId="73E07840">
            <w:pPr>
              <w:tabs>
                <w:tab w:val="left" w:pos="2604"/>
              </w:tabs>
              <w:spacing w:line="240" w:lineRule="exact"/>
              <w:ind w:left="105" w:leftChars="50" w:right="105" w:rightChars="50" w:firstLine="96" w:firstLineChars="46"/>
              <w:rPr>
                <w:rFonts w:ascii="宋体" w:cs="宋体"/>
              </w:rPr>
            </w:pPr>
          </w:p>
          <w:p w14:paraId="5DA81AF3">
            <w:pPr>
              <w:tabs>
                <w:tab w:val="left" w:pos="2604"/>
              </w:tabs>
              <w:spacing w:line="240" w:lineRule="exact"/>
              <w:ind w:left="105" w:leftChars="50" w:right="105" w:rightChars="50" w:firstLine="96" w:firstLineChars="46"/>
              <w:rPr>
                <w:rFonts w:ascii="宋体" w:cs="宋体"/>
              </w:rPr>
            </w:pPr>
          </w:p>
          <w:p w14:paraId="283E1ABE">
            <w:pPr>
              <w:tabs>
                <w:tab w:val="left" w:pos="2604"/>
              </w:tabs>
              <w:spacing w:line="240" w:lineRule="exact"/>
              <w:ind w:left="105" w:leftChars="50" w:right="105" w:rightChars="50" w:firstLine="96" w:firstLineChars="46"/>
              <w:rPr>
                <w:rFonts w:ascii="宋体" w:cs="宋体"/>
              </w:rPr>
            </w:pPr>
            <w:r>
              <w:rPr>
                <w:rFonts w:hint="eastAsia" w:ascii="宋体" w:cs="宋体"/>
              </w:rPr>
              <w:t>1</w:t>
            </w:r>
          </w:p>
        </w:tc>
        <w:tc>
          <w:tcPr>
            <w:tcW w:w="1576" w:type="pct"/>
            <w:tcMar>
              <w:top w:w="10" w:type="dxa"/>
              <w:left w:w="10" w:type="dxa"/>
              <w:bottom w:w="0" w:type="dxa"/>
              <w:right w:w="10" w:type="dxa"/>
            </w:tcMar>
            <w:vAlign w:val="center"/>
          </w:tcPr>
          <w:p w14:paraId="2DAC2295">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部门是否按照政府信息公开有关规定公开相关预决算信息，用以反映和考核部门预决算管理的公开透明情况。</w:t>
            </w:r>
          </w:p>
        </w:tc>
        <w:tc>
          <w:tcPr>
            <w:tcW w:w="1867" w:type="pct"/>
            <w:tcMar>
              <w:top w:w="10" w:type="dxa"/>
              <w:left w:w="10" w:type="dxa"/>
              <w:bottom w:w="0" w:type="dxa"/>
              <w:right w:w="10" w:type="dxa"/>
            </w:tcMar>
            <w:vAlign w:val="center"/>
          </w:tcPr>
          <w:p w14:paraId="44502F1E">
            <w:pPr>
              <w:spacing w:line="240" w:lineRule="exact"/>
              <w:ind w:left="105" w:leftChars="50" w:right="105" w:rightChars="50"/>
              <w:rPr>
                <w:rFonts w:ascii="宋体" w:hAnsi="宋体" w:cs="宋体"/>
              </w:rPr>
            </w:pPr>
            <w:r>
              <w:rPr>
                <w:rFonts w:hint="eastAsia" w:ascii="宋体" w:hAnsi="宋体" w:cs="宋体"/>
              </w:rPr>
              <w:t>评价要点：</w:t>
            </w:r>
          </w:p>
          <w:p w14:paraId="075D5AE1">
            <w:pPr>
              <w:spacing w:line="240" w:lineRule="exact"/>
              <w:ind w:left="105" w:leftChars="50" w:right="105" w:rightChars="50"/>
              <w:rPr>
                <w:rFonts w:ascii="宋体" w:hAnsi="宋体" w:cs="宋体"/>
              </w:rPr>
            </w:pPr>
            <w:r>
              <w:rPr>
                <w:rFonts w:hint="eastAsia" w:ascii="宋体" w:hAnsi="宋体" w:cs="宋体"/>
              </w:rPr>
              <w:t>①是否按规定内容公开预决算信息；</w:t>
            </w:r>
          </w:p>
          <w:p w14:paraId="370791D5">
            <w:pPr>
              <w:spacing w:line="240" w:lineRule="exact"/>
              <w:ind w:left="105" w:leftChars="50" w:right="105" w:rightChars="50"/>
              <w:rPr>
                <w:rFonts w:ascii="宋体" w:hAnsi="宋体" w:cs="宋体"/>
              </w:rPr>
            </w:pPr>
            <w:r>
              <w:rPr>
                <w:rFonts w:hint="eastAsia" w:ascii="宋体" w:hAnsi="宋体" w:cs="宋体"/>
              </w:rPr>
              <w:t>②是否按规定时限公开预决算信息。</w:t>
            </w:r>
          </w:p>
          <w:p w14:paraId="17360890">
            <w:pPr>
              <w:spacing w:line="240" w:lineRule="exact"/>
              <w:ind w:left="105" w:leftChars="50" w:right="105" w:rightChars="50"/>
              <w:rPr>
                <w:rFonts w:ascii="宋体" w:cs="宋体"/>
              </w:rPr>
            </w:pPr>
            <w:r>
              <w:rPr>
                <w:rFonts w:hint="eastAsia" w:ascii="宋体" w:hAnsi="宋体" w:cs="宋体"/>
              </w:rPr>
              <w:t>预决算信息是指与部门预算、执行、决算、监督、绩效等管理相关的信息。</w:t>
            </w:r>
          </w:p>
        </w:tc>
      </w:tr>
      <w:tr w14:paraId="7230B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37" w:hRule="atLeast"/>
          <w:jc w:val="center"/>
        </w:trPr>
        <w:tc>
          <w:tcPr>
            <w:tcW w:w="307" w:type="pct"/>
            <w:vMerge w:val="continue"/>
            <w:vAlign w:val="center"/>
          </w:tcPr>
          <w:p w14:paraId="45F44716">
            <w:pPr>
              <w:spacing w:line="240" w:lineRule="exact"/>
              <w:jc w:val="center"/>
              <w:rPr>
                <w:rFonts w:ascii="宋体" w:cs="宋体"/>
              </w:rPr>
            </w:pPr>
          </w:p>
        </w:tc>
        <w:tc>
          <w:tcPr>
            <w:tcW w:w="375" w:type="pct"/>
            <w:vMerge w:val="continue"/>
            <w:vAlign w:val="center"/>
          </w:tcPr>
          <w:p w14:paraId="72B1F681">
            <w:pPr>
              <w:spacing w:line="240" w:lineRule="exact"/>
              <w:jc w:val="center"/>
              <w:rPr>
                <w:rFonts w:ascii="宋体" w:cs="宋体"/>
              </w:rPr>
            </w:pPr>
          </w:p>
        </w:tc>
        <w:tc>
          <w:tcPr>
            <w:tcW w:w="500" w:type="pct"/>
            <w:tcMar>
              <w:top w:w="10" w:type="dxa"/>
              <w:left w:w="10" w:type="dxa"/>
              <w:bottom w:w="0" w:type="dxa"/>
              <w:right w:w="10" w:type="dxa"/>
            </w:tcMar>
            <w:vAlign w:val="center"/>
          </w:tcPr>
          <w:p w14:paraId="446E0F21">
            <w:pPr>
              <w:spacing w:line="240" w:lineRule="exact"/>
              <w:jc w:val="center"/>
              <w:rPr>
                <w:rFonts w:ascii="宋体" w:cs="宋体"/>
              </w:rPr>
            </w:pPr>
            <w:r>
              <w:rPr>
                <w:rFonts w:hint="eastAsia" w:ascii="宋体" w:hAnsi="宋体" w:cs="宋体"/>
              </w:rPr>
              <w:t>基础信息</w:t>
            </w:r>
          </w:p>
          <w:p w14:paraId="4D74AC10">
            <w:pPr>
              <w:spacing w:line="240" w:lineRule="exact"/>
              <w:jc w:val="center"/>
              <w:rPr>
                <w:rFonts w:ascii="宋体" w:cs="宋体"/>
              </w:rPr>
            </w:pPr>
            <w:r>
              <w:rPr>
                <w:rFonts w:hint="eastAsia" w:ascii="宋体" w:hAnsi="宋体" w:cs="宋体"/>
              </w:rPr>
              <w:t>完善性（</w:t>
            </w:r>
            <w:r>
              <w:rPr>
                <w:rFonts w:ascii="宋体" w:hAnsi="宋体" w:cs="宋体"/>
              </w:rPr>
              <w:t>1</w:t>
            </w:r>
            <w:r>
              <w:rPr>
                <w:rFonts w:hint="eastAsia" w:ascii="宋体" w:hAnsi="宋体" w:cs="宋体"/>
              </w:rPr>
              <w:t>分）</w:t>
            </w:r>
          </w:p>
        </w:tc>
        <w:tc>
          <w:tcPr>
            <w:tcW w:w="375" w:type="pct"/>
            <w:tcMar>
              <w:top w:w="10" w:type="dxa"/>
              <w:left w:w="10" w:type="dxa"/>
              <w:bottom w:w="0" w:type="dxa"/>
              <w:right w:w="10" w:type="dxa"/>
            </w:tcMar>
          </w:tcPr>
          <w:p w14:paraId="47A90178">
            <w:pPr>
              <w:tabs>
                <w:tab w:val="left" w:pos="2604"/>
              </w:tabs>
              <w:spacing w:line="240" w:lineRule="exact"/>
              <w:ind w:left="105" w:leftChars="50" w:right="105" w:rightChars="50" w:firstLine="96" w:firstLineChars="46"/>
              <w:rPr>
                <w:rFonts w:ascii="宋体" w:cs="宋体"/>
              </w:rPr>
            </w:pPr>
          </w:p>
          <w:p w14:paraId="4B2C85D5">
            <w:pPr>
              <w:tabs>
                <w:tab w:val="left" w:pos="2604"/>
              </w:tabs>
              <w:spacing w:line="240" w:lineRule="exact"/>
              <w:ind w:left="105" w:leftChars="50" w:right="105" w:rightChars="50" w:firstLine="96" w:firstLineChars="46"/>
              <w:rPr>
                <w:rFonts w:ascii="宋体" w:cs="宋体"/>
              </w:rPr>
            </w:pPr>
          </w:p>
          <w:p w14:paraId="4FDB79B2">
            <w:pPr>
              <w:tabs>
                <w:tab w:val="left" w:pos="2604"/>
              </w:tabs>
              <w:spacing w:line="240" w:lineRule="exact"/>
              <w:ind w:left="105" w:leftChars="50" w:right="105" w:rightChars="50" w:firstLine="96" w:firstLineChars="46"/>
              <w:rPr>
                <w:rFonts w:ascii="宋体" w:cs="宋体"/>
              </w:rPr>
            </w:pPr>
          </w:p>
          <w:p w14:paraId="1520DFD3">
            <w:pPr>
              <w:tabs>
                <w:tab w:val="left" w:pos="2604"/>
              </w:tabs>
              <w:spacing w:line="240" w:lineRule="exact"/>
              <w:ind w:left="105" w:leftChars="50" w:right="105" w:rightChars="50" w:firstLine="96" w:firstLineChars="46"/>
              <w:rPr>
                <w:rFonts w:ascii="宋体" w:cs="宋体"/>
              </w:rPr>
            </w:pPr>
            <w:r>
              <w:rPr>
                <w:rFonts w:hint="eastAsia" w:ascii="宋体" w:cs="宋体"/>
              </w:rPr>
              <w:t>1</w:t>
            </w:r>
          </w:p>
        </w:tc>
        <w:tc>
          <w:tcPr>
            <w:tcW w:w="1576" w:type="pct"/>
            <w:tcMar>
              <w:top w:w="10" w:type="dxa"/>
              <w:left w:w="10" w:type="dxa"/>
              <w:bottom w:w="0" w:type="dxa"/>
              <w:right w:w="10" w:type="dxa"/>
            </w:tcMar>
            <w:vAlign w:val="center"/>
          </w:tcPr>
          <w:p w14:paraId="6DF78DEC">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部门基础信息是否完善，用以反映和考核基础信息对预算管理工作的支撑情况。</w:t>
            </w:r>
          </w:p>
        </w:tc>
        <w:tc>
          <w:tcPr>
            <w:tcW w:w="1867" w:type="pct"/>
            <w:tcMar>
              <w:top w:w="10" w:type="dxa"/>
              <w:left w:w="10" w:type="dxa"/>
              <w:bottom w:w="0" w:type="dxa"/>
              <w:right w:w="10" w:type="dxa"/>
            </w:tcMar>
            <w:vAlign w:val="center"/>
          </w:tcPr>
          <w:p w14:paraId="79A5D53B">
            <w:pPr>
              <w:spacing w:line="240" w:lineRule="exact"/>
              <w:ind w:left="105" w:leftChars="50" w:right="105" w:rightChars="50"/>
              <w:rPr>
                <w:rFonts w:ascii="宋体" w:hAnsi="宋体" w:cs="宋体"/>
              </w:rPr>
            </w:pPr>
            <w:r>
              <w:rPr>
                <w:rFonts w:hint="eastAsia" w:ascii="宋体" w:hAnsi="宋体" w:cs="宋体"/>
              </w:rPr>
              <w:t>评价要点：</w:t>
            </w:r>
          </w:p>
          <w:p w14:paraId="29193EEF">
            <w:pPr>
              <w:spacing w:line="240" w:lineRule="exact"/>
              <w:ind w:left="105" w:leftChars="50" w:right="105" w:rightChars="50"/>
              <w:rPr>
                <w:rFonts w:ascii="宋体" w:hAnsi="宋体" w:cs="宋体"/>
              </w:rPr>
            </w:pPr>
            <w:r>
              <w:rPr>
                <w:rFonts w:hint="eastAsia" w:ascii="宋体" w:hAnsi="宋体" w:cs="宋体"/>
              </w:rPr>
              <w:t>①基础数据信息和会计信息资料是否真实；</w:t>
            </w:r>
          </w:p>
          <w:p w14:paraId="7948DBF3">
            <w:pPr>
              <w:spacing w:line="240" w:lineRule="exact"/>
              <w:ind w:left="105" w:leftChars="50" w:right="105" w:rightChars="50"/>
              <w:rPr>
                <w:rFonts w:ascii="宋体" w:hAnsi="宋体" w:cs="宋体"/>
              </w:rPr>
            </w:pPr>
            <w:r>
              <w:rPr>
                <w:rFonts w:hint="eastAsia" w:ascii="宋体" w:hAnsi="宋体" w:cs="宋体"/>
              </w:rPr>
              <w:t>②基础数据信息和会计信息资料是否完整；</w:t>
            </w:r>
          </w:p>
          <w:p w14:paraId="3B7C66E1">
            <w:pPr>
              <w:spacing w:line="240" w:lineRule="exact"/>
              <w:ind w:left="105" w:leftChars="50" w:right="105" w:rightChars="50"/>
              <w:rPr>
                <w:rFonts w:ascii="宋体" w:cs="宋体"/>
              </w:rPr>
            </w:pPr>
            <w:r>
              <w:rPr>
                <w:rFonts w:hint="eastAsia" w:ascii="宋体" w:hAnsi="宋体" w:cs="宋体"/>
              </w:rPr>
              <w:t>③基础数据信息和会计信息资料是否准确。</w:t>
            </w:r>
          </w:p>
        </w:tc>
      </w:tr>
      <w:tr w14:paraId="49D8A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89" w:hRule="atLeast"/>
          <w:jc w:val="center"/>
        </w:trPr>
        <w:tc>
          <w:tcPr>
            <w:tcW w:w="307" w:type="pct"/>
            <w:vMerge w:val="continue"/>
            <w:noWrap/>
            <w:tcMar>
              <w:top w:w="10" w:type="dxa"/>
              <w:left w:w="10" w:type="dxa"/>
              <w:bottom w:w="0" w:type="dxa"/>
              <w:right w:w="10" w:type="dxa"/>
            </w:tcMar>
            <w:textDirection w:val="tbRlV"/>
            <w:vAlign w:val="center"/>
          </w:tcPr>
          <w:p w14:paraId="071C7FC7">
            <w:pPr>
              <w:spacing w:line="240" w:lineRule="exact"/>
              <w:jc w:val="center"/>
              <w:rPr>
                <w:rFonts w:ascii="宋体" w:cs="宋体"/>
              </w:rPr>
            </w:pPr>
          </w:p>
        </w:tc>
        <w:tc>
          <w:tcPr>
            <w:tcW w:w="375" w:type="pct"/>
            <w:vMerge w:val="restart"/>
            <w:tcMar>
              <w:top w:w="10" w:type="dxa"/>
              <w:left w:w="10" w:type="dxa"/>
              <w:bottom w:w="0" w:type="dxa"/>
              <w:right w:w="10" w:type="dxa"/>
            </w:tcMar>
            <w:vAlign w:val="center"/>
          </w:tcPr>
          <w:p w14:paraId="60C362A7">
            <w:pPr>
              <w:spacing w:line="240" w:lineRule="exact"/>
              <w:jc w:val="center"/>
              <w:rPr>
                <w:rFonts w:ascii="宋体" w:hAnsi="宋体" w:cs="宋体"/>
              </w:rPr>
            </w:pPr>
            <w:r>
              <w:rPr>
                <w:rFonts w:hint="eastAsia" w:ascii="宋体" w:hAnsi="宋体" w:cs="宋体"/>
              </w:rPr>
              <w:t>资产</w:t>
            </w:r>
          </w:p>
          <w:p w14:paraId="5AAB1BFD">
            <w:pPr>
              <w:spacing w:line="240" w:lineRule="exact"/>
              <w:jc w:val="center"/>
              <w:rPr>
                <w:rFonts w:ascii="宋体" w:cs="宋体"/>
              </w:rPr>
            </w:pPr>
            <w:r>
              <w:rPr>
                <w:rFonts w:hint="eastAsia" w:ascii="宋体" w:hAnsi="宋体" w:cs="宋体"/>
              </w:rPr>
              <w:t>管理（</w:t>
            </w:r>
            <w:r>
              <w:rPr>
                <w:rFonts w:ascii="宋体" w:hAnsi="宋体" w:cs="宋体"/>
              </w:rPr>
              <w:t>5</w:t>
            </w:r>
            <w:r>
              <w:rPr>
                <w:rFonts w:hint="eastAsia" w:ascii="宋体" w:hAnsi="宋体" w:cs="宋体"/>
              </w:rPr>
              <w:t>分）</w:t>
            </w:r>
          </w:p>
        </w:tc>
        <w:tc>
          <w:tcPr>
            <w:tcW w:w="500" w:type="pct"/>
            <w:tcMar>
              <w:top w:w="10" w:type="dxa"/>
              <w:left w:w="10" w:type="dxa"/>
              <w:bottom w:w="0" w:type="dxa"/>
              <w:right w:w="10" w:type="dxa"/>
            </w:tcMar>
            <w:vAlign w:val="center"/>
          </w:tcPr>
          <w:p w14:paraId="227778E4">
            <w:pPr>
              <w:spacing w:line="240" w:lineRule="exact"/>
              <w:jc w:val="center"/>
              <w:rPr>
                <w:rFonts w:ascii="宋体" w:cs="宋体"/>
              </w:rPr>
            </w:pPr>
            <w:r>
              <w:rPr>
                <w:rFonts w:hint="eastAsia" w:ascii="宋体" w:hAnsi="宋体" w:cs="宋体"/>
              </w:rPr>
              <w:t>管理制度</w:t>
            </w:r>
          </w:p>
          <w:p w14:paraId="763F241D">
            <w:pPr>
              <w:spacing w:line="240" w:lineRule="exact"/>
              <w:jc w:val="center"/>
              <w:rPr>
                <w:rFonts w:ascii="宋体" w:cs="宋体"/>
              </w:rPr>
            </w:pPr>
            <w:r>
              <w:rPr>
                <w:rFonts w:hint="eastAsia" w:ascii="宋体" w:hAnsi="宋体" w:cs="宋体"/>
              </w:rPr>
              <w:t>健全性（</w:t>
            </w:r>
            <w:r>
              <w:rPr>
                <w:rFonts w:ascii="宋体" w:hAnsi="宋体" w:cs="宋体"/>
              </w:rPr>
              <w:t>2</w:t>
            </w:r>
            <w:r>
              <w:rPr>
                <w:rFonts w:hint="eastAsia" w:ascii="宋体" w:hAnsi="宋体" w:cs="宋体"/>
              </w:rPr>
              <w:t>分）</w:t>
            </w:r>
          </w:p>
        </w:tc>
        <w:tc>
          <w:tcPr>
            <w:tcW w:w="375" w:type="pct"/>
            <w:tcMar>
              <w:top w:w="10" w:type="dxa"/>
              <w:left w:w="10" w:type="dxa"/>
              <w:bottom w:w="0" w:type="dxa"/>
              <w:right w:w="10" w:type="dxa"/>
            </w:tcMar>
          </w:tcPr>
          <w:p w14:paraId="45A909E9">
            <w:pPr>
              <w:tabs>
                <w:tab w:val="left" w:pos="2604"/>
              </w:tabs>
              <w:spacing w:line="240" w:lineRule="exact"/>
              <w:ind w:left="105" w:leftChars="50" w:right="105" w:rightChars="50" w:firstLine="96" w:firstLineChars="46"/>
              <w:rPr>
                <w:rFonts w:ascii="宋体" w:cs="宋体"/>
              </w:rPr>
            </w:pPr>
          </w:p>
          <w:p w14:paraId="16B6AC6D">
            <w:pPr>
              <w:tabs>
                <w:tab w:val="left" w:pos="2604"/>
              </w:tabs>
              <w:spacing w:line="240" w:lineRule="exact"/>
              <w:ind w:left="105" w:leftChars="50" w:right="105" w:rightChars="50" w:firstLine="96" w:firstLineChars="46"/>
              <w:rPr>
                <w:rFonts w:ascii="宋体" w:cs="宋体"/>
              </w:rPr>
            </w:pPr>
          </w:p>
          <w:p w14:paraId="0F994A59">
            <w:pPr>
              <w:tabs>
                <w:tab w:val="left" w:pos="2604"/>
              </w:tabs>
              <w:spacing w:line="240" w:lineRule="exact"/>
              <w:ind w:left="105" w:leftChars="50" w:right="105" w:rightChars="50" w:firstLine="96" w:firstLineChars="46"/>
              <w:rPr>
                <w:rFonts w:ascii="宋体" w:cs="宋体"/>
              </w:rPr>
            </w:pPr>
            <w:r>
              <w:rPr>
                <w:rFonts w:hint="eastAsia" w:ascii="宋体" w:cs="宋体"/>
              </w:rPr>
              <w:t>2</w:t>
            </w:r>
          </w:p>
        </w:tc>
        <w:tc>
          <w:tcPr>
            <w:tcW w:w="1576" w:type="pct"/>
            <w:tcMar>
              <w:top w:w="10" w:type="dxa"/>
              <w:left w:w="10" w:type="dxa"/>
              <w:bottom w:w="0" w:type="dxa"/>
              <w:right w:w="10" w:type="dxa"/>
            </w:tcMar>
            <w:vAlign w:val="center"/>
          </w:tcPr>
          <w:p w14:paraId="6CA6BFAD">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部门为加强资产管理、规范资产管理行为而制定的管理制度是否健全完整，用以反映和考核部门资产管理制度对完成主要职责或促进社会发展的保障情况。</w:t>
            </w:r>
          </w:p>
        </w:tc>
        <w:tc>
          <w:tcPr>
            <w:tcW w:w="1867" w:type="pct"/>
            <w:tcMar>
              <w:top w:w="10" w:type="dxa"/>
              <w:left w:w="10" w:type="dxa"/>
              <w:bottom w:w="0" w:type="dxa"/>
              <w:right w:w="10" w:type="dxa"/>
            </w:tcMar>
            <w:vAlign w:val="center"/>
          </w:tcPr>
          <w:p w14:paraId="61FD16E1">
            <w:pPr>
              <w:spacing w:line="240" w:lineRule="exact"/>
              <w:ind w:left="105" w:leftChars="50" w:right="105" w:rightChars="50"/>
              <w:rPr>
                <w:rFonts w:ascii="宋体" w:hAnsi="宋体" w:cs="宋体"/>
              </w:rPr>
            </w:pPr>
            <w:r>
              <w:rPr>
                <w:rFonts w:hint="eastAsia" w:ascii="宋体" w:hAnsi="宋体" w:cs="宋体"/>
              </w:rPr>
              <w:t>评价要点：</w:t>
            </w:r>
          </w:p>
          <w:p w14:paraId="5FC7FF80">
            <w:pPr>
              <w:spacing w:line="240" w:lineRule="exact"/>
              <w:ind w:left="105" w:leftChars="50" w:right="105" w:rightChars="50"/>
              <w:rPr>
                <w:rFonts w:ascii="宋体" w:hAnsi="宋体" w:cs="宋体"/>
              </w:rPr>
            </w:pPr>
            <w:r>
              <w:rPr>
                <w:rFonts w:hint="eastAsia" w:ascii="宋体" w:hAnsi="宋体" w:cs="宋体"/>
              </w:rPr>
              <w:t>①是否已制定或具有资产管理制度；②相关资金管理制度是否合法、合规、完整；</w:t>
            </w:r>
          </w:p>
          <w:p w14:paraId="6036058B">
            <w:pPr>
              <w:spacing w:line="240" w:lineRule="exact"/>
              <w:ind w:left="105" w:leftChars="50" w:right="105" w:rightChars="50"/>
              <w:rPr>
                <w:rFonts w:ascii="宋体" w:cs="宋体"/>
              </w:rPr>
            </w:pPr>
            <w:r>
              <w:rPr>
                <w:rFonts w:hint="eastAsia" w:ascii="宋体" w:hAnsi="宋体" w:cs="宋体"/>
              </w:rPr>
              <w:t>③相关资产管理制度是否得到有效执行。</w:t>
            </w:r>
          </w:p>
        </w:tc>
      </w:tr>
      <w:tr w14:paraId="0977F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87" w:hRule="atLeast"/>
          <w:jc w:val="center"/>
        </w:trPr>
        <w:tc>
          <w:tcPr>
            <w:tcW w:w="307" w:type="pct"/>
            <w:vMerge w:val="continue"/>
            <w:vAlign w:val="center"/>
          </w:tcPr>
          <w:p w14:paraId="5538E885">
            <w:pPr>
              <w:spacing w:line="240" w:lineRule="exact"/>
              <w:jc w:val="center"/>
              <w:rPr>
                <w:rFonts w:ascii="宋体" w:cs="宋体"/>
              </w:rPr>
            </w:pPr>
          </w:p>
        </w:tc>
        <w:tc>
          <w:tcPr>
            <w:tcW w:w="375" w:type="pct"/>
            <w:vMerge w:val="continue"/>
            <w:vAlign w:val="center"/>
          </w:tcPr>
          <w:p w14:paraId="56578DBC">
            <w:pPr>
              <w:spacing w:line="240" w:lineRule="exact"/>
              <w:jc w:val="center"/>
              <w:rPr>
                <w:rFonts w:ascii="宋体" w:cs="宋体"/>
              </w:rPr>
            </w:pPr>
          </w:p>
        </w:tc>
        <w:tc>
          <w:tcPr>
            <w:tcW w:w="500" w:type="pct"/>
            <w:tcMar>
              <w:top w:w="10" w:type="dxa"/>
              <w:left w:w="10" w:type="dxa"/>
              <w:bottom w:w="0" w:type="dxa"/>
              <w:right w:w="10" w:type="dxa"/>
            </w:tcMar>
            <w:vAlign w:val="center"/>
          </w:tcPr>
          <w:p w14:paraId="5A244CF7">
            <w:pPr>
              <w:spacing w:line="240" w:lineRule="exact"/>
              <w:jc w:val="center"/>
              <w:rPr>
                <w:rFonts w:ascii="宋体" w:cs="宋体"/>
              </w:rPr>
            </w:pPr>
            <w:r>
              <w:rPr>
                <w:rFonts w:hint="eastAsia" w:ascii="宋体" w:hAnsi="宋体" w:cs="宋体"/>
              </w:rPr>
              <w:t>资产管理</w:t>
            </w:r>
          </w:p>
          <w:p w14:paraId="0BD7CB77">
            <w:pPr>
              <w:spacing w:line="240" w:lineRule="exact"/>
              <w:jc w:val="center"/>
              <w:rPr>
                <w:rFonts w:ascii="宋体" w:cs="宋体"/>
              </w:rPr>
            </w:pPr>
            <w:r>
              <w:rPr>
                <w:rFonts w:hint="eastAsia" w:ascii="宋体" w:hAnsi="宋体" w:cs="宋体"/>
              </w:rPr>
              <w:t>安全性（</w:t>
            </w:r>
            <w:r>
              <w:rPr>
                <w:rFonts w:ascii="宋体" w:hAnsi="宋体" w:cs="宋体"/>
              </w:rPr>
              <w:t>2</w:t>
            </w:r>
            <w:r>
              <w:rPr>
                <w:rFonts w:hint="eastAsia" w:ascii="宋体" w:hAnsi="宋体" w:cs="宋体"/>
              </w:rPr>
              <w:t>分）</w:t>
            </w:r>
          </w:p>
        </w:tc>
        <w:tc>
          <w:tcPr>
            <w:tcW w:w="375" w:type="pct"/>
            <w:tcMar>
              <w:top w:w="10" w:type="dxa"/>
              <w:left w:w="10" w:type="dxa"/>
              <w:bottom w:w="0" w:type="dxa"/>
              <w:right w:w="10" w:type="dxa"/>
            </w:tcMar>
          </w:tcPr>
          <w:p w14:paraId="072E2ECF">
            <w:pPr>
              <w:tabs>
                <w:tab w:val="left" w:pos="761"/>
                <w:tab w:val="left" w:pos="2604"/>
              </w:tabs>
              <w:spacing w:line="240" w:lineRule="exact"/>
              <w:ind w:left="105" w:leftChars="50" w:right="105" w:rightChars="50" w:firstLine="96" w:firstLineChars="46"/>
              <w:rPr>
                <w:rFonts w:ascii="宋体" w:cs="宋体"/>
              </w:rPr>
            </w:pPr>
          </w:p>
          <w:p w14:paraId="7C0F9BEE">
            <w:pPr>
              <w:tabs>
                <w:tab w:val="left" w:pos="761"/>
                <w:tab w:val="left" w:pos="2604"/>
              </w:tabs>
              <w:spacing w:line="240" w:lineRule="exact"/>
              <w:ind w:left="105" w:leftChars="50" w:right="105" w:rightChars="50" w:firstLine="96" w:firstLineChars="46"/>
              <w:rPr>
                <w:rFonts w:ascii="宋体" w:cs="宋体"/>
              </w:rPr>
            </w:pPr>
          </w:p>
          <w:p w14:paraId="3F51CDF4">
            <w:pPr>
              <w:tabs>
                <w:tab w:val="left" w:pos="761"/>
                <w:tab w:val="left" w:pos="2604"/>
              </w:tabs>
              <w:spacing w:line="240" w:lineRule="exact"/>
              <w:ind w:left="105" w:leftChars="50" w:right="105" w:rightChars="50" w:firstLine="96" w:firstLineChars="46"/>
              <w:rPr>
                <w:rFonts w:ascii="宋体" w:cs="宋体"/>
              </w:rPr>
            </w:pPr>
          </w:p>
          <w:p w14:paraId="657B0CDA">
            <w:pPr>
              <w:tabs>
                <w:tab w:val="left" w:pos="761"/>
                <w:tab w:val="left" w:pos="2604"/>
              </w:tabs>
              <w:spacing w:line="240" w:lineRule="exact"/>
              <w:ind w:left="105" w:leftChars="50" w:right="105" w:rightChars="50" w:firstLine="96" w:firstLineChars="46"/>
              <w:rPr>
                <w:rFonts w:ascii="宋体" w:cs="宋体"/>
              </w:rPr>
            </w:pPr>
            <w:r>
              <w:rPr>
                <w:rFonts w:hint="eastAsia" w:ascii="宋体" w:cs="宋体"/>
              </w:rPr>
              <w:t>2</w:t>
            </w:r>
          </w:p>
        </w:tc>
        <w:tc>
          <w:tcPr>
            <w:tcW w:w="1576" w:type="pct"/>
            <w:tcMar>
              <w:top w:w="10" w:type="dxa"/>
              <w:left w:w="10" w:type="dxa"/>
              <w:bottom w:w="0" w:type="dxa"/>
              <w:right w:w="10" w:type="dxa"/>
            </w:tcMar>
            <w:vAlign w:val="center"/>
          </w:tcPr>
          <w:p w14:paraId="6DEBF2B1">
            <w:pPr>
              <w:tabs>
                <w:tab w:val="left" w:pos="761"/>
                <w:tab w:val="left" w:pos="2604"/>
              </w:tabs>
              <w:spacing w:line="240" w:lineRule="exact"/>
              <w:ind w:left="105" w:leftChars="50" w:right="105" w:rightChars="50" w:firstLine="96" w:firstLineChars="46"/>
              <w:rPr>
                <w:rFonts w:ascii="宋体" w:cs="宋体"/>
              </w:rPr>
            </w:pPr>
            <w:r>
              <w:rPr>
                <w:rFonts w:hint="eastAsia" w:ascii="宋体" w:hAnsi="宋体" w:cs="宋体"/>
              </w:rPr>
              <w:t>部门的资产是否保存完整、使用合规、配置合理、处置规范、收入及时足额上缴，用以反映和考核部门资产安全运行情况。</w:t>
            </w:r>
          </w:p>
        </w:tc>
        <w:tc>
          <w:tcPr>
            <w:tcW w:w="1867" w:type="pct"/>
            <w:tcMar>
              <w:top w:w="10" w:type="dxa"/>
              <w:left w:w="10" w:type="dxa"/>
              <w:bottom w:w="0" w:type="dxa"/>
              <w:right w:w="10" w:type="dxa"/>
            </w:tcMar>
            <w:vAlign w:val="center"/>
          </w:tcPr>
          <w:p w14:paraId="0F6A6167">
            <w:pPr>
              <w:spacing w:line="240" w:lineRule="exact"/>
              <w:ind w:left="105" w:leftChars="50" w:right="105" w:rightChars="50"/>
              <w:rPr>
                <w:rFonts w:ascii="宋体" w:hAnsi="宋体" w:cs="宋体"/>
              </w:rPr>
            </w:pPr>
            <w:r>
              <w:rPr>
                <w:rFonts w:hint="eastAsia" w:ascii="宋体" w:hAnsi="宋体" w:cs="宋体"/>
              </w:rPr>
              <w:t>评价要点：</w:t>
            </w:r>
          </w:p>
          <w:p w14:paraId="4EECDBB4">
            <w:pPr>
              <w:spacing w:line="240" w:lineRule="exact"/>
              <w:ind w:left="105" w:leftChars="50" w:right="105" w:rightChars="50"/>
              <w:rPr>
                <w:rFonts w:ascii="宋体" w:hAnsi="宋体" w:cs="宋体"/>
              </w:rPr>
            </w:pPr>
            <w:r>
              <w:rPr>
                <w:rFonts w:hint="eastAsia" w:ascii="宋体" w:hAnsi="宋体" w:cs="宋体"/>
              </w:rPr>
              <w:t>①资产保存是否完整；</w:t>
            </w:r>
          </w:p>
          <w:p w14:paraId="1CDF37EF">
            <w:pPr>
              <w:spacing w:line="240" w:lineRule="exact"/>
              <w:ind w:left="105" w:leftChars="50" w:right="105" w:rightChars="50"/>
              <w:rPr>
                <w:rFonts w:ascii="宋体" w:hAnsi="宋体" w:cs="宋体"/>
              </w:rPr>
            </w:pPr>
            <w:r>
              <w:rPr>
                <w:rFonts w:hint="eastAsia" w:ascii="宋体" w:hAnsi="宋体" w:cs="宋体"/>
              </w:rPr>
              <w:t>②资产配置是否合理；</w:t>
            </w:r>
          </w:p>
          <w:p w14:paraId="2C72DE8C">
            <w:pPr>
              <w:spacing w:line="240" w:lineRule="exact"/>
              <w:ind w:left="105" w:leftChars="50" w:right="105" w:rightChars="50"/>
              <w:rPr>
                <w:rFonts w:ascii="宋体" w:hAnsi="宋体" w:cs="宋体"/>
              </w:rPr>
            </w:pPr>
            <w:r>
              <w:rPr>
                <w:rFonts w:hint="eastAsia" w:ascii="宋体" w:hAnsi="宋体" w:cs="宋体"/>
              </w:rPr>
              <w:t>③资产处置是否规范；</w:t>
            </w:r>
          </w:p>
          <w:p w14:paraId="39FF0F0D">
            <w:pPr>
              <w:spacing w:line="240" w:lineRule="exact"/>
              <w:ind w:left="105" w:leftChars="50" w:right="105" w:rightChars="50"/>
              <w:rPr>
                <w:rFonts w:ascii="宋体" w:hAnsi="宋体" w:cs="宋体"/>
              </w:rPr>
            </w:pPr>
            <w:r>
              <w:rPr>
                <w:rFonts w:hint="eastAsia" w:ascii="宋体" w:hAnsi="宋体" w:cs="宋体"/>
              </w:rPr>
              <w:t>④资产账务管理是否合规，是否帐实相符；</w:t>
            </w:r>
          </w:p>
          <w:p w14:paraId="67D33197">
            <w:pPr>
              <w:spacing w:line="240" w:lineRule="exact"/>
              <w:ind w:left="105" w:leftChars="50" w:right="105" w:rightChars="50"/>
              <w:rPr>
                <w:rFonts w:ascii="宋体" w:cs="宋体"/>
              </w:rPr>
            </w:pPr>
            <w:r>
              <w:rPr>
                <w:rFonts w:hint="eastAsia" w:ascii="宋体" w:hAnsi="宋体" w:cs="宋体"/>
              </w:rPr>
              <w:t>⑤资产是否有偿使用及处置收入及时足额上缴。</w:t>
            </w:r>
          </w:p>
        </w:tc>
      </w:tr>
      <w:tr w14:paraId="03329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5" w:hRule="atLeast"/>
          <w:jc w:val="center"/>
        </w:trPr>
        <w:tc>
          <w:tcPr>
            <w:tcW w:w="307" w:type="pct"/>
            <w:vMerge w:val="continue"/>
            <w:vAlign w:val="center"/>
          </w:tcPr>
          <w:p w14:paraId="06C81EF5">
            <w:pPr>
              <w:spacing w:line="240" w:lineRule="exact"/>
              <w:rPr>
                <w:rFonts w:ascii="宋体" w:cs="宋体"/>
              </w:rPr>
            </w:pPr>
          </w:p>
        </w:tc>
        <w:tc>
          <w:tcPr>
            <w:tcW w:w="375" w:type="pct"/>
            <w:vMerge w:val="continue"/>
            <w:vAlign w:val="center"/>
          </w:tcPr>
          <w:p w14:paraId="30240C77">
            <w:pPr>
              <w:spacing w:line="240" w:lineRule="exact"/>
              <w:rPr>
                <w:rFonts w:ascii="宋体" w:cs="宋体"/>
              </w:rPr>
            </w:pPr>
          </w:p>
        </w:tc>
        <w:tc>
          <w:tcPr>
            <w:tcW w:w="500" w:type="pct"/>
            <w:tcMar>
              <w:top w:w="10" w:type="dxa"/>
              <w:left w:w="10" w:type="dxa"/>
              <w:bottom w:w="0" w:type="dxa"/>
              <w:right w:w="10" w:type="dxa"/>
            </w:tcMar>
            <w:vAlign w:val="center"/>
          </w:tcPr>
          <w:p w14:paraId="1567F882">
            <w:pPr>
              <w:spacing w:line="240" w:lineRule="exact"/>
              <w:jc w:val="center"/>
              <w:rPr>
                <w:rFonts w:ascii="宋体" w:cs="宋体"/>
              </w:rPr>
            </w:pPr>
            <w:r>
              <w:rPr>
                <w:rFonts w:hint="eastAsia" w:ascii="宋体" w:hAnsi="宋体" w:cs="宋体"/>
              </w:rPr>
              <w:t>固定资产</w:t>
            </w:r>
          </w:p>
          <w:p w14:paraId="373A89AC">
            <w:pPr>
              <w:spacing w:line="240" w:lineRule="exact"/>
              <w:jc w:val="center"/>
              <w:rPr>
                <w:rFonts w:ascii="宋体" w:cs="宋体"/>
              </w:rPr>
            </w:pPr>
            <w:r>
              <w:rPr>
                <w:rFonts w:hint="eastAsia" w:ascii="宋体" w:hAnsi="宋体" w:cs="宋体"/>
              </w:rPr>
              <w:t>利用率（</w:t>
            </w:r>
            <w:r>
              <w:rPr>
                <w:rFonts w:ascii="宋体" w:hAnsi="宋体" w:cs="宋体"/>
              </w:rPr>
              <w:t>1</w:t>
            </w:r>
            <w:r>
              <w:rPr>
                <w:rFonts w:hint="eastAsia" w:ascii="宋体" w:hAnsi="宋体" w:cs="宋体"/>
              </w:rPr>
              <w:t>分）</w:t>
            </w:r>
          </w:p>
        </w:tc>
        <w:tc>
          <w:tcPr>
            <w:tcW w:w="375" w:type="pct"/>
            <w:tcMar>
              <w:top w:w="10" w:type="dxa"/>
              <w:left w:w="10" w:type="dxa"/>
              <w:bottom w:w="0" w:type="dxa"/>
              <w:right w:w="10" w:type="dxa"/>
            </w:tcMar>
          </w:tcPr>
          <w:p w14:paraId="18581240">
            <w:pPr>
              <w:tabs>
                <w:tab w:val="left" w:pos="2604"/>
              </w:tabs>
              <w:spacing w:line="240" w:lineRule="exact"/>
              <w:ind w:left="105" w:leftChars="50" w:right="105" w:rightChars="50" w:firstLine="96" w:firstLineChars="46"/>
              <w:rPr>
                <w:rFonts w:ascii="宋体" w:cs="宋体"/>
              </w:rPr>
            </w:pPr>
          </w:p>
          <w:p w14:paraId="2C29A3F5">
            <w:pPr>
              <w:tabs>
                <w:tab w:val="left" w:pos="2604"/>
              </w:tabs>
              <w:spacing w:line="240" w:lineRule="exact"/>
              <w:ind w:left="105" w:leftChars="50" w:right="105" w:rightChars="50" w:firstLine="96" w:firstLineChars="46"/>
              <w:rPr>
                <w:rFonts w:ascii="宋体" w:cs="宋体"/>
              </w:rPr>
            </w:pPr>
          </w:p>
          <w:p w14:paraId="6DE48096">
            <w:pPr>
              <w:tabs>
                <w:tab w:val="left" w:pos="2604"/>
              </w:tabs>
              <w:spacing w:line="240" w:lineRule="exact"/>
              <w:ind w:left="105" w:leftChars="50" w:right="105" w:rightChars="50" w:firstLine="96" w:firstLineChars="46"/>
              <w:rPr>
                <w:rFonts w:ascii="宋体" w:cs="宋体"/>
              </w:rPr>
            </w:pPr>
            <w:r>
              <w:rPr>
                <w:rFonts w:hint="eastAsia" w:ascii="宋体" w:cs="宋体"/>
              </w:rPr>
              <w:t>1</w:t>
            </w:r>
          </w:p>
        </w:tc>
        <w:tc>
          <w:tcPr>
            <w:tcW w:w="1576" w:type="pct"/>
            <w:tcMar>
              <w:top w:w="10" w:type="dxa"/>
              <w:left w:w="10" w:type="dxa"/>
              <w:bottom w:w="0" w:type="dxa"/>
              <w:right w:w="10" w:type="dxa"/>
            </w:tcMar>
            <w:vAlign w:val="center"/>
          </w:tcPr>
          <w:p w14:paraId="3C2ABFDE">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部门实际在用固定资产总额与所有固定资产总额的比率，用以反映和考核部门固定资产使用效率程度。</w:t>
            </w:r>
          </w:p>
        </w:tc>
        <w:tc>
          <w:tcPr>
            <w:tcW w:w="1867" w:type="pct"/>
            <w:tcMar>
              <w:top w:w="10" w:type="dxa"/>
              <w:left w:w="10" w:type="dxa"/>
              <w:bottom w:w="0" w:type="dxa"/>
              <w:right w:w="10" w:type="dxa"/>
            </w:tcMar>
            <w:vAlign w:val="center"/>
          </w:tcPr>
          <w:p w14:paraId="580AE4EC">
            <w:pPr>
              <w:spacing w:line="240" w:lineRule="exact"/>
              <w:ind w:left="105" w:leftChars="50" w:right="105" w:rightChars="50"/>
              <w:rPr>
                <w:rFonts w:ascii="宋体" w:cs="宋体"/>
              </w:rPr>
            </w:pPr>
            <w:r>
              <w:rPr>
                <w:rFonts w:hint="eastAsia" w:ascii="宋体" w:hAnsi="宋体" w:cs="宋体"/>
              </w:rPr>
              <w:t>固定资产利用率</w:t>
            </w:r>
            <w:r>
              <w:rPr>
                <w:rFonts w:ascii="宋体" w:hAnsi="宋体" w:cs="宋体"/>
              </w:rPr>
              <w:t>=</w:t>
            </w:r>
            <w:r>
              <w:rPr>
                <w:rFonts w:hint="eastAsia" w:ascii="宋体" w:hAnsi="宋体" w:cs="宋体"/>
              </w:rPr>
              <w:t>（实际在用固定资产总额</w:t>
            </w:r>
            <w:r>
              <w:rPr>
                <w:rFonts w:ascii="宋体" w:hAnsi="宋体" w:cs="宋体"/>
              </w:rPr>
              <w:t>/</w:t>
            </w:r>
            <w:r>
              <w:rPr>
                <w:rFonts w:hint="eastAsia" w:ascii="宋体" w:hAnsi="宋体" w:cs="宋体"/>
              </w:rPr>
              <w:t>所有固定资产总额）×</w:t>
            </w:r>
            <w:r>
              <w:rPr>
                <w:rFonts w:ascii="宋体" w:hAnsi="宋体" w:cs="宋体"/>
              </w:rPr>
              <w:t>100%</w:t>
            </w:r>
            <w:r>
              <w:rPr>
                <w:rFonts w:hint="eastAsia" w:ascii="宋体" w:hAnsi="宋体" w:cs="宋体"/>
              </w:rPr>
              <w:t>。</w:t>
            </w:r>
          </w:p>
        </w:tc>
      </w:tr>
      <w:tr w14:paraId="019AC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71" w:hRule="atLeast"/>
          <w:jc w:val="center"/>
        </w:trPr>
        <w:tc>
          <w:tcPr>
            <w:tcW w:w="307" w:type="pct"/>
            <w:vMerge w:val="restart"/>
            <w:noWrap/>
            <w:tcMar>
              <w:top w:w="10" w:type="dxa"/>
              <w:left w:w="10" w:type="dxa"/>
              <w:bottom w:w="0" w:type="dxa"/>
              <w:right w:w="10" w:type="dxa"/>
            </w:tcMar>
            <w:textDirection w:val="tbRlV"/>
            <w:vAlign w:val="center"/>
          </w:tcPr>
          <w:p w14:paraId="7E6E7C21">
            <w:pPr>
              <w:spacing w:line="240" w:lineRule="exact"/>
              <w:jc w:val="center"/>
              <w:rPr>
                <w:rFonts w:ascii="宋体" w:cs="宋体"/>
              </w:rPr>
            </w:pPr>
            <w:r>
              <w:rPr>
                <w:rFonts w:hint="eastAsia" w:ascii="宋体" w:hAnsi="宋体" w:cs="宋体"/>
              </w:rPr>
              <w:t>产出（</w:t>
            </w:r>
            <w:r>
              <w:rPr>
                <w:rFonts w:ascii="宋体" w:hAnsi="宋体" w:cs="宋体"/>
              </w:rPr>
              <w:t>30</w:t>
            </w:r>
            <w:r>
              <w:rPr>
                <w:rFonts w:hint="eastAsia" w:ascii="宋体" w:hAnsi="宋体" w:cs="宋体"/>
              </w:rPr>
              <w:t>分）</w:t>
            </w:r>
          </w:p>
        </w:tc>
        <w:tc>
          <w:tcPr>
            <w:tcW w:w="375" w:type="pct"/>
            <w:vMerge w:val="restart"/>
            <w:tcMar>
              <w:top w:w="10" w:type="dxa"/>
              <w:left w:w="10" w:type="dxa"/>
              <w:bottom w:w="0" w:type="dxa"/>
              <w:right w:w="10" w:type="dxa"/>
            </w:tcMar>
            <w:vAlign w:val="center"/>
          </w:tcPr>
          <w:p w14:paraId="6EB24137">
            <w:pPr>
              <w:spacing w:line="240" w:lineRule="exact"/>
              <w:jc w:val="center"/>
              <w:rPr>
                <w:rFonts w:ascii="宋体" w:hAnsi="宋体" w:cs="宋体"/>
              </w:rPr>
            </w:pPr>
            <w:r>
              <w:rPr>
                <w:rFonts w:hint="eastAsia" w:ascii="宋体" w:hAnsi="宋体" w:cs="宋体"/>
              </w:rPr>
              <w:t>职责</w:t>
            </w:r>
          </w:p>
          <w:p w14:paraId="1A38D8ED">
            <w:pPr>
              <w:spacing w:line="240" w:lineRule="exact"/>
              <w:jc w:val="center"/>
              <w:rPr>
                <w:rFonts w:ascii="宋体" w:cs="宋体"/>
              </w:rPr>
            </w:pPr>
            <w:r>
              <w:rPr>
                <w:rFonts w:hint="eastAsia" w:ascii="宋体" w:hAnsi="宋体" w:cs="宋体"/>
              </w:rPr>
              <w:t>履行（</w:t>
            </w:r>
            <w:r>
              <w:rPr>
                <w:rFonts w:ascii="宋体" w:hAnsi="宋体" w:cs="宋体"/>
              </w:rPr>
              <w:t>30</w:t>
            </w:r>
            <w:r>
              <w:rPr>
                <w:rFonts w:hint="eastAsia" w:ascii="宋体" w:hAnsi="宋体" w:cs="宋体"/>
              </w:rPr>
              <w:t>分）</w:t>
            </w:r>
          </w:p>
        </w:tc>
        <w:tc>
          <w:tcPr>
            <w:tcW w:w="500" w:type="pct"/>
            <w:tcMar>
              <w:top w:w="10" w:type="dxa"/>
              <w:left w:w="10" w:type="dxa"/>
              <w:bottom w:w="0" w:type="dxa"/>
              <w:right w:w="10" w:type="dxa"/>
            </w:tcMar>
            <w:vAlign w:val="center"/>
          </w:tcPr>
          <w:p w14:paraId="7FBCF009">
            <w:pPr>
              <w:spacing w:line="240" w:lineRule="exact"/>
              <w:jc w:val="center"/>
              <w:rPr>
                <w:rFonts w:ascii="宋体" w:cs="宋体"/>
              </w:rPr>
            </w:pPr>
            <w:r>
              <w:rPr>
                <w:rFonts w:hint="eastAsia" w:ascii="宋体" w:hAnsi="宋体" w:cs="宋体"/>
              </w:rPr>
              <w:t>实际</w:t>
            </w:r>
          </w:p>
          <w:p w14:paraId="5D8F2A4F">
            <w:pPr>
              <w:spacing w:line="240" w:lineRule="exact"/>
              <w:jc w:val="center"/>
              <w:rPr>
                <w:rFonts w:ascii="宋体" w:hAnsi="宋体" w:cs="宋体"/>
              </w:rPr>
            </w:pPr>
            <w:r>
              <w:rPr>
                <w:rFonts w:hint="eastAsia" w:ascii="宋体" w:hAnsi="宋体" w:cs="宋体"/>
              </w:rPr>
              <w:t>完成率</w:t>
            </w:r>
          </w:p>
          <w:p w14:paraId="62FCC1BF">
            <w:pPr>
              <w:spacing w:line="240" w:lineRule="exact"/>
              <w:jc w:val="center"/>
              <w:rPr>
                <w:rFonts w:ascii="宋体" w:cs="宋体"/>
              </w:rPr>
            </w:pPr>
            <w:r>
              <w:rPr>
                <w:rFonts w:hint="eastAsia" w:ascii="宋体" w:hAnsi="宋体" w:cs="宋体"/>
              </w:rPr>
              <w:t>（</w:t>
            </w:r>
            <w:r>
              <w:rPr>
                <w:rFonts w:ascii="宋体" w:hAnsi="宋体" w:cs="宋体"/>
              </w:rPr>
              <w:t>8</w:t>
            </w:r>
            <w:r>
              <w:rPr>
                <w:rFonts w:hint="eastAsia" w:ascii="宋体" w:hAnsi="宋体" w:cs="宋体"/>
              </w:rPr>
              <w:t>分）</w:t>
            </w:r>
          </w:p>
        </w:tc>
        <w:tc>
          <w:tcPr>
            <w:tcW w:w="375" w:type="pct"/>
            <w:tcMar>
              <w:top w:w="10" w:type="dxa"/>
              <w:left w:w="10" w:type="dxa"/>
              <w:bottom w:w="0" w:type="dxa"/>
              <w:right w:w="10" w:type="dxa"/>
            </w:tcMar>
          </w:tcPr>
          <w:p w14:paraId="002975DC">
            <w:pPr>
              <w:tabs>
                <w:tab w:val="left" w:pos="2604"/>
              </w:tabs>
              <w:spacing w:line="240" w:lineRule="exact"/>
              <w:ind w:left="105" w:leftChars="50" w:right="105" w:rightChars="50" w:firstLine="96" w:firstLineChars="46"/>
              <w:rPr>
                <w:rFonts w:ascii="宋体" w:cs="宋体"/>
              </w:rPr>
            </w:pPr>
          </w:p>
          <w:p w14:paraId="6622C98B">
            <w:pPr>
              <w:tabs>
                <w:tab w:val="left" w:pos="2604"/>
              </w:tabs>
              <w:spacing w:line="240" w:lineRule="exact"/>
              <w:ind w:left="105" w:leftChars="50" w:right="105" w:rightChars="50" w:firstLine="96" w:firstLineChars="46"/>
              <w:rPr>
                <w:rFonts w:ascii="宋体" w:cs="宋体"/>
              </w:rPr>
            </w:pPr>
          </w:p>
          <w:p w14:paraId="16A7468B">
            <w:pPr>
              <w:tabs>
                <w:tab w:val="left" w:pos="2604"/>
              </w:tabs>
              <w:spacing w:line="240" w:lineRule="exact"/>
              <w:ind w:left="105" w:leftChars="50" w:right="105" w:rightChars="50" w:firstLine="96" w:firstLineChars="46"/>
              <w:rPr>
                <w:rFonts w:ascii="宋体" w:cs="宋体"/>
              </w:rPr>
            </w:pPr>
          </w:p>
          <w:p w14:paraId="17370F05">
            <w:pPr>
              <w:tabs>
                <w:tab w:val="left" w:pos="2604"/>
              </w:tabs>
              <w:spacing w:line="240" w:lineRule="exact"/>
              <w:ind w:left="105" w:leftChars="50" w:right="105" w:rightChars="50" w:firstLine="96" w:firstLineChars="46"/>
              <w:rPr>
                <w:rFonts w:ascii="宋体" w:cs="宋体"/>
              </w:rPr>
            </w:pPr>
          </w:p>
          <w:p w14:paraId="62F13056">
            <w:pPr>
              <w:tabs>
                <w:tab w:val="left" w:pos="2604"/>
              </w:tabs>
              <w:spacing w:line="240" w:lineRule="exact"/>
              <w:ind w:left="105" w:leftChars="50" w:right="105" w:rightChars="50" w:firstLine="96" w:firstLineChars="46"/>
              <w:rPr>
                <w:rFonts w:ascii="宋体" w:cs="宋体"/>
              </w:rPr>
            </w:pPr>
            <w:r>
              <w:rPr>
                <w:rFonts w:hint="eastAsia" w:ascii="宋体" w:cs="宋体"/>
              </w:rPr>
              <w:t>7</w:t>
            </w:r>
          </w:p>
        </w:tc>
        <w:tc>
          <w:tcPr>
            <w:tcW w:w="1576" w:type="pct"/>
            <w:tcMar>
              <w:top w:w="10" w:type="dxa"/>
              <w:left w:w="10" w:type="dxa"/>
              <w:bottom w:w="0" w:type="dxa"/>
              <w:right w:w="10" w:type="dxa"/>
            </w:tcMar>
            <w:vAlign w:val="center"/>
          </w:tcPr>
          <w:p w14:paraId="5E08B082">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部门履行职责而实际完成工作数与计划工作数的比率，用以反映和考核部门履职工作任务目标的实现程度。</w:t>
            </w:r>
          </w:p>
        </w:tc>
        <w:tc>
          <w:tcPr>
            <w:tcW w:w="1867" w:type="pct"/>
            <w:tcMar>
              <w:top w:w="10" w:type="dxa"/>
              <w:left w:w="10" w:type="dxa"/>
              <w:bottom w:w="0" w:type="dxa"/>
              <w:right w:w="10" w:type="dxa"/>
            </w:tcMar>
            <w:vAlign w:val="center"/>
          </w:tcPr>
          <w:p w14:paraId="79BAD9DE">
            <w:pPr>
              <w:spacing w:line="240" w:lineRule="exact"/>
              <w:ind w:left="105" w:leftChars="50" w:right="105" w:rightChars="50"/>
              <w:rPr>
                <w:rFonts w:ascii="宋体" w:hAnsi="宋体" w:cs="宋体"/>
              </w:rPr>
            </w:pPr>
            <w:r>
              <w:rPr>
                <w:rFonts w:hint="eastAsia" w:ascii="宋体" w:hAnsi="宋体" w:cs="宋体"/>
              </w:rPr>
              <w:t>实际完成率</w:t>
            </w:r>
            <w:r>
              <w:rPr>
                <w:rFonts w:ascii="宋体" w:hAnsi="宋体" w:cs="宋体"/>
              </w:rPr>
              <w:t>=</w:t>
            </w:r>
            <w:r>
              <w:rPr>
                <w:rFonts w:hint="eastAsia" w:ascii="宋体" w:hAnsi="宋体" w:cs="宋体"/>
              </w:rPr>
              <w:t>（实际完成工作数</w:t>
            </w:r>
            <w:r>
              <w:rPr>
                <w:rFonts w:ascii="宋体" w:hAnsi="宋体" w:cs="宋体"/>
              </w:rPr>
              <w:t>/</w:t>
            </w:r>
            <w:r>
              <w:rPr>
                <w:rFonts w:hint="eastAsia" w:ascii="宋体" w:hAnsi="宋体" w:cs="宋体"/>
              </w:rPr>
              <w:t>计划工作数）×</w:t>
            </w:r>
            <w:r>
              <w:rPr>
                <w:rFonts w:ascii="宋体" w:hAnsi="宋体" w:cs="宋体"/>
              </w:rPr>
              <w:t>100%</w:t>
            </w:r>
            <w:r>
              <w:rPr>
                <w:rFonts w:hint="eastAsia" w:ascii="宋体" w:hAnsi="宋体" w:cs="宋体"/>
              </w:rPr>
              <w:t>。</w:t>
            </w:r>
          </w:p>
          <w:p w14:paraId="6710FB80">
            <w:pPr>
              <w:spacing w:line="240" w:lineRule="exact"/>
              <w:ind w:left="105" w:leftChars="50" w:right="105" w:rightChars="50"/>
              <w:rPr>
                <w:rFonts w:ascii="宋体" w:hAnsi="宋体" w:cs="宋体"/>
              </w:rPr>
            </w:pPr>
            <w:r>
              <w:rPr>
                <w:rFonts w:hint="eastAsia" w:ascii="宋体" w:hAnsi="宋体" w:cs="宋体"/>
              </w:rPr>
              <w:t>实际完成工作数：一定时期（年度或规划期）内部门实际完成工作任务的数量。</w:t>
            </w:r>
          </w:p>
          <w:p w14:paraId="2379FBA4">
            <w:pPr>
              <w:spacing w:line="240" w:lineRule="exact"/>
              <w:ind w:left="105" w:leftChars="50" w:right="105" w:rightChars="50"/>
              <w:rPr>
                <w:rFonts w:ascii="宋体" w:cs="宋体"/>
              </w:rPr>
            </w:pPr>
            <w:r>
              <w:rPr>
                <w:rFonts w:hint="eastAsia" w:ascii="宋体" w:hAnsi="宋体" w:cs="宋体"/>
              </w:rPr>
              <w:t>计划工作数：部门整体绩效目标确定的一定时期（年度或规划期）内预计完成工作任务的数量。</w:t>
            </w:r>
          </w:p>
        </w:tc>
      </w:tr>
      <w:tr w14:paraId="4238C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93" w:hRule="atLeast"/>
          <w:jc w:val="center"/>
        </w:trPr>
        <w:tc>
          <w:tcPr>
            <w:tcW w:w="307" w:type="pct"/>
            <w:vMerge w:val="continue"/>
            <w:textDirection w:val="tbRlV"/>
            <w:vAlign w:val="center"/>
          </w:tcPr>
          <w:p w14:paraId="2132DBC4">
            <w:pPr>
              <w:spacing w:line="240" w:lineRule="exact"/>
              <w:ind w:left="113"/>
              <w:jc w:val="center"/>
              <w:rPr>
                <w:rFonts w:ascii="宋体" w:cs="宋体"/>
              </w:rPr>
            </w:pPr>
          </w:p>
        </w:tc>
        <w:tc>
          <w:tcPr>
            <w:tcW w:w="375" w:type="pct"/>
            <w:vMerge w:val="continue"/>
            <w:vAlign w:val="center"/>
          </w:tcPr>
          <w:p w14:paraId="6EB96D48">
            <w:pPr>
              <w:spacing w:line="240" w:lineRule="exact"/>
              <w:jc w:val="center"/>
              <w:rPr>
                <w:rFonts w:ascii="宋体" w:cs="宋体"/>
              </w:rPr>
            </w:pPr>
          </w:p>
        </w:tc>
        <w:tc>
          <w:tcPr>
            <w:tcW w:w="500" w:type="pct"/>
            <w:tcMar>
              <w:top w:w="10" w:type="dxa"/>
              <w:left w:w="10" w:type="dxa"/>
              <w:bottom w:w="0" w:type="dxa"/>
              <w:right w:w="10" w:type="dxa"/>
            </w:tcMar>
            <w:vAlign w:val="center"/>
          </w:tcPr>
          <w:p w14:paraId="584B3D95">
            <w:pPr>
              <w:spacing w:line="240" w:lineRule="exact"/>
              <w:jc w:val="center"/>
              <w:rPr>
                <w:rFonts w:ascii="宋体" w:cs="宋体"/>
              </w:rPr>
            </w:pPr>
            <w:r>
              <w:rPr>
                <w:rFonts w:hint="eastAsia" w:ascii="宋体" w:hAnsi="宋体" w:cs="宋体"/>
              </w:rPr>
              <w:t>完成</w:t>
            </w:r>
          </w:p>
          <w:p w14:paraId="445DB92D">
            <w:pPr>
              <w:spacing w:line="240" w:lineRule="exact"/>
              <w:jc w:val="center"/>
              <w:rPr>
                <w:rFonts w:ascii="宋体" w:hAnsi="宋体" w:cs="宋体"/>
              </w:rPr>
            </w:pPr>
            <w:r>
              <w:rPr>
                <w:rFonts w:hint="eastAsia" w:ascii="宋体" w:hAnsi="宋体" w:cs="宋体"/>
              </w:rPr>
              <w:t>及时率</w:t>
            </w:r>
          </w:p>
          <w:p w14:paraId="3D728250">
            <w:pPr>
              <w:spacing w:line="240" w:lineRule="exact"/>
              <w:jc w:val="center"/>
              <w:rPr>
                <w:rFonts w:ascii="宋体" w:cs="宋体"/>
              </w:rPr>
            </w:pPr>
            <w:r>
              <w:rPr>
                <w:rFonts w:hint="eastAsia" w:ascii="宋体" w:hAnsi="宋体" w:cs="宋体"/>
              </w:rPr>
              <w:t>（</w:t>
            </w:r>
            <w:r>
              <w:rPr>
                <w:rFonts w:ascii="宋体" w:hAnsi="宋体" w:cs="宋体"/>
              </w:rPr>
              <w:t>4</w:t>
            </w:r>
            <w:r>
              <w:rPr>
                <w:rFonts w:hint="eastAsia" w:ascii="宋体" w:hAnsi="宋体" w:cs="宋体"/>
              </w:rPr>
              <w:t>分）</w:t>
            </w:r>
          </w:p>
        </w:tc>
        <w:tc>
          <w:tcPr>
            <w:tcW w:w="375" w:type="pct"/>
            <w:tcMar>
              <w:top w:w="10" w:type="dxa"/>
              <w:left w:w="10" w:type="dxa"/>
              <w:bottom w:w="0" w:type="dxa"/>
              <w:right w:w="10" w:type="dxa"/>
            </w:tcMar>
          </w:tcPr>
          <w:p w14:paraId="396E9734">
            <w:pPr>
              <w:tabs>
                <w:tab w:val="left" w:pos="2604"/>
              </w:tabs>
              <w:spacing w:line="240" w:lineRule="exact"/>
              <w:ind w:left="105" w:leftChars="50" w:right="105" w:rightChars="50" w:firstLine="96" w:firstLineChars="46"/>
              <w:rPr>
                <w:rFonts w:ascii="宋体" w:cs="宋体"/>
              </w:rPr>
            </w:pPr>
          </w:p>
          <w:p w14:paraId="4CF51A02">
            <w:pPr>
              <w:tabs>
                <w:tab w:val="left" w:pos="2604"/>
              </w:tabs>
              <w:spacing w:line="240" w:lineRule="exact"/>
              <w:ind w:left="105" w:leftChars="50" w:right="105" w:rightChars="50" w:firstLine="96" w:firstLineChars="46"/>
              <w:rPr>
                <w:rFonts w:ascii="宋体" w:cs="宋体"/>
              </w:rPr>
            </w:pPr>
          </w:p>
          <w:p w14:paraId="6EA226AA">
            <w:pPr>
              <w:tabs>
                <w:tab w:val="left" w:pos="2604"/>
              </w:tabs>
              <w:spacing w:line="240" w:lineRule="exact"/>
              <w:ind w:left="105" w:leftChars="50" w:right="105" w:rightChars="50" w:firstLine="96" w:firstLineChars="46"/>
              <w:rPr>
                <w:rFonts w:ascii="宋体" w:cs="宋体"/>
              </w:rPr>
            </w:pPr>
          </w:p>
          <w:p w14:paraId="2ACD9BBC">
            <w:pPr>
              <w:tabs>
                <w:tab w:val="left" w:pos="2604"/>
              </w:tabs>
              <w:spacing w:line="240" w:lineRule="exact"/>
              <w:ind w:left="105" w:leftChars="50" w:right="105" w:rightChars="50" w:firstLine="96" w:firstLineChars="46"/>
              <w:rPr>
                <w:rFonts w:hint="eastAsia" w:ascii="宋体" w:cs="宋体"/>
              </w:rPr>
            </w:pPr>
            <w:r>
              <w:rPr>
                <w:rFonts w:hint="eastAsia" w:ascii="宋体" w:cs="宋体"/>
              </w:rPr>
              <w:t>4</w:t>
            </w:r>
          </w:p>
          <w:p w14:paraId="48809CB1">
            <w:pPr>
              <w:tabs>
                <w:tab w:val="left" w:pos="2604"/>
              </w:tabs>
              <w:spacing w:line="240" w:lineRule="exact"/>
              <w:ind w:left="105" w:leftChars="50" w:right="105" w:rightChars="50" w:firstLine="96" w:firstLineChars="46"/>
              <w:rPr>
                <w:rFonts w:hint="eastAsia" w:ascii="宋体" w:cs="宋体"/>
              </w:rPr>
            </w:pPr>
          </w:p>
          <w:p w14:paraId="4FCA5AC1">
            <w:pPr>
              <w:tabs>
                <w:tab w:val="left" w:pos="2604"/>
              </w:tabs>
              <w:spacing w:line="240" w:lineRule="exact"/>
              <w:ind w:left="105" w:leftChars="50" w:right="105" w:rightChars="50" w:firstLine="96" w:firstLineChars="46"/>
              <w:rPr>
                <w:rFonts w:hint="eastAsia" w:ascii="宋体" w:cs="宋体"/>
              </w:rPr>
            </w:pPr>
          </w:p>
          <w:p w14:paraId="4607E2CB">
            <w:pPr>
              <w:tabs>
                <w:tab w:val="left" w:pos="2604"/>
              </w:tabs>
              <w:spacing w:line="240" w:lineRule="exact"/>
              <w:ind w:left="105" w:leftChars="50" w:right="105" w:rightChars="50" w:firstLine="96" w:firstLineChars="46"/>
              <w:rPr>
                <w:rFonts w:ascii="宋体" w:cs="宋体"/>
              </w:rPr>
            </w:pPr>
          </w:p>
        </w:tc>
        <w:tc>
          <w:tcPr>
            <w:tcW w:w="1576" w:type="pct"/>
            <w:tcMar>
              <w:top w:w="10" w:type="dxa"/>
              <w:left w:w="10" w:type="dxa"/>
              <w:bottom w:w="0" w:type="dxa"/>
              <w:right w:w="10" w:type="dxa"/>
            </w:tcMar>
            <w:vAlign w:val="center"/>
          </w:tcPr>
          <w:p w14:paraId="5C39279E">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部门在规定时限内及时完成的实际工作数与计划工作数的比率</w:t>
            </w:r>
            <w:r>
              <w:rPr>
                <w:rFonts w:ascii="宋体" w:hAnsi="宋体" w:cs="宋体"/>
              </w:rPr>
              <w:t>,</w:t>
            </w:r>
            <w:r>
              <w:rPr>
                <w:rFonts w:hint="eastAsia" w:ascii="宋体" w:hAnsi="宋体" w:cs="宋体"/>
              </w:rPr>
              <w:t>用以反映和考核部门履职时效目标的实现程度。</w:t>
            </w:r>
          </w:p>
        </w:tc>
        <w:tc>
          <w:tcPr>
            <w:tcW w:w="1867" w:type="pct"/>
            <w:tcMar>
              <w:top w:w="10" w:type="dxa"/>
              <w:left w:w="10" w:type="dxa"/>
              <w:bottom w:w="0" w:type="dxa"/>
              <w:right w:w="10" w:type="dxa"/>
            </w:tcMar>
            <w:vAlign w:val="center"/>
          </w:tcPr>
          <w:p w14:paraId="7FA8FE40">
            <w:pPr>
              <w:spacing w:line="240" w:lineRule="exact"/>
              <w:ind w:left="105" w:leftChars="50" w:right="105" w:rightChars="50"/>
              <w:rPr>
                <w:rFonts w:ascii="宋体" w:hAnsi="宋体" w:cs="宋体"/>
              </w:rPr>
            </w:pPr>
            <w:r>
              <w:rPr>
                <w:rFonts w:hint="eastAsia" w:ascii="宋体" w:hAnsi="宋体" w:cs="宋体"/>
              </w:rPr>
              <w:t>完成及时率</w:t>
            </w:r>
            <w:r>
              <w:rPr>
                <w:rFonts w:ascii="宋体" w:hAnsi="宋体" w:cs="宋体"/>
              </w:rPr>
              <w:t>=</w:t>
            </w:r>
            <w:r>
              <w:rPr>
                <w:rFonts w:hint="eastAsia" w:ascii="宋体" w:hAnsi="宋体" w:cs="宋体"/>
              </w:rPr>
              <w:t>（及时完成实际工作数</w:t>
            </w:r>
            <w:r>
              <w:rPr>
                <w:rFonts w:ascii="宋体" w:hAnsi="宋体" w:cs="宋体"/>
              </w:rPr>
              <w:t>/</w:t>
            </w:r>
            <w:r>
              <w:rPr>
                <w:rFonts w:hint="eastAsia" w:ascii="宋体" w:hAnsi="宋体" w:cs="宋体"/>
              </w:rPr>
              <w:t>计划工作数）×</w:t>
            </w:r>
            <w:r>
              <w:rPr>
                <w:rFonts w:ascii="宋体" w:hAnsi="宋体" w:cs="宋体"/>
              </w:rPr>
              <w:t>100%</w:t>
            </w:r>
            <w:r>
              <w:rPr>
                <w:rFonts w:hint="eastAsia" w:ascii="宋体" w:hAnsi="宋体" w:cs="宋体"/>
              </w:rPr>
              <w:t>。</w:t>
            </w:r>
          </w:p>
          <w:p w14:paraId="5C98A8FB">
            <w:pPr>
              <w:spacing w:line="240" w:lineRule="exact"/>
              <w:ind w:left="105" w:leftChars="50" w:right="105" w:rightChars="50"/>
              <w:rPr>
                <w:rFonts w:ascii="宋体" w:cs="宋体"/>
              </w:rPr>
            </w:pPr>
            <w:r>
              <w:rPr>
                <w:rFonts w:hint="eastAsia" w:ascii="宋体" w:hAnsi="宋体" w:cs="宋体"/>
              </w:rPr>
              <w:t>及时完成实际工作数：部门按照整体绩效目标确定的时限实际完成的工作任务数量。</w:t>
            </w:r>
          </w:p>
        </w:tc>
      </w:tr>
      <w:tr w14:paraId="13213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75" w:hRule="atLeast"/>
          <w:jc w:val="center"/>
        </w:trPr>
        <w:tc>
          <w:tcPr>
            <w:tcW w:w="307" w:type="pct"/>
            <w:vMerge w:val="continue"/>
            <w:vAlign w:val="center"/>
          </w:tcPr>
          <w:p w14:paraId="712A19CF">
            <w:pPr>
              <w:spacing w:line="240" w:lineRule="exact"/>
              <w:rPr>
                <w:rFonts w:ascii="宋体" w:cs="宋体"/>
              </w:rPr>
            </w:pPr>
          </w:p>
        </w:tc>
        <w:tc>
          <w:tcPr>
            <w:tcW w:w="375" w:type="pct"/>
            <w:vMerge w:val="continue"/>
            <w:vAlign w:val="center"/>
          </w:tcPr>
          <w:p w14:paraId="129C3755">
            <w:pPr>
              <w:spacing w:line="240" w:lineRule="exact"/>
              <w:rPr>
                <w:rFonts w:ascii="宋体" w:cs="宋体"/>
              </w:rPr>
            </w:pPr>
          </w:p>
        </w:tc>
        <w:tc>
          <w:tcPr>
            <w:tcW w:w="500" w:type="pct"/>
            <w:tcMar>
              <w:top w:w="10" w:type="dxa"/>
              <w:left w:w="10" w:type="dxa"/>
              <w:bottom w:w="0" w:type="dxa"/>
              <w:right w:w="10" w:type="dxa"/>
            </w:tcMar>
            <w:vAlign w:val="center"/>
          </w:tcPr>
          <w:p w14:paraId="652D5EBB">
            <w:pPr>
              <w:spacing w:line="240" w:lineRule="exact"/>
              <w:jc w:val="center"/>
              <w:rPr>
                <w:rFonts w:ascii="宋体" w:cs="宋体"/>
              </w:rPr>
            </w:pPr>
            <w:r>
              <w:rPr>
                <w:rFonts w:hint="eastAsia" w:ascii="宋体" w:hAnsi="宋体" w:cs="宋体"/>
              </w:rPr>
              <w:t>质量</w:t>
            </w:r>
          </w:p>
          <w:p w14:paraId="71D8C19A">
            <w:pPr>
              <w:spacing w:line="240" w:lineRule="exact"/>
              <w:jc w:val="center"/>
              <w:rPr>
                <w:rFonts w:ascii="宋体" w:hAnsi="宋体" w:cs="宋体"/>
              </w:rPr>
            </w:pPr>
            <w:r>
              <w:rPr>
                <w:rFonts w:hint="eastAsia" w:ascii="宋体" w:hAnsi="宋体" w:cs="宋体"/>
              </w:rPr>
              <w:t>达标率</w:t>
            </w:r>
          </w:p>
          <w:p w14:paraId="466DAF97">
            <w:pPr>
              <w:spacing w:line="240" w:lineRule="exact"/>
              <w:jc w:val="center"/>
              <w:rPr>
                <w:rFonts w:ascii="宋体" w:cs="宋体"/>
              </w:rPr>
            </w:pPr>
            <w:r>
              <w:rPr>
                <w:rFonts w:hint="eastAsia" w:ascii="宋体" w:hAnsi="宋体" w:cs="宋体"/>
              </w:rPr>
              <w:t>（</w:t>
            </w:r>
            <w:r>
              <w:rPr>
                <w:rFonts w:ascii="宋体" w:hAnsi="宋体" w:cs="宋体"/>
              </w:rPr>
              <w:t>8</w:t>
            </w:r>
            <w:r>
              <w:rPr>
                <w:rFonts w:hint="eastAsia" w:ascii="宋体" w:hAnsi="宋体" w:cs="宋体"/>
              </w:rPr>
              <w:t>分）</w:t>
            </w:r>
          </w:p>
        </w:tc>
        <w:tc>
          <w:tcPr>
            <w:tcW w:w="375" w:type="pct"/>
            <w:tcMar>
              <w:top w:w="10" w:type="dxa"/>
              <w:left w:w="10" w:type="dxa"/>
              <w:bottom w:w="0" w:type="dxa"/>
              <w:right w:w="10" w:type="dxa"/>
            </w:tcMar>
          </w:tcPr>
          <w:p w14:paraId="149DC1D2">
            <w:pPr>
              <w:tabs>
                <w:tab w:val="left" w:pos="2604"/>
              </w:tabs>
              <w:spacing w:line="240" w:lineRule="exact"/>
              <w:ind w:left="105" w:leftChars="50" w:right="105" w:rightChars="50" w:firstLine="96" w:firstLineChars="46"/>
              <w:rPr>
                <w:rFonts w:ascii="宋体" w:cs="宋体"/>
              </w:rPr>
            </w:pPr>
          </w:p>
          <w:p w14:paraId="35D7F4AB">
            <w:pPr>
              <w:tabs>
                <w:tab w:val="left" w:pos="2604"/>
              </w:tabs>
              <w:spacing w:line="240" w:lineRule="exact"/>
              <w:ind w:left="105" w:leftChars="50" w:right="105" w:rightChars="50" w:firstLine="96" w:firstLineChars="46"/>
              <w:rPr>
                <w:rFonts w:ascii="宋体" w:cs="宋体"/>
              </w:rPr>
            </w:pPr>
          </w:p>
          <w:p w14:paraId="63824639">
            <w:pPr>
              <w:tabs>
                <w:tab w:val="left" w:pos="2604"/>
              </w:tabs>
              <w:spacing w:line="240" w:lineRule="exact"/>
              <w:ind w:left="105" w:leftChars="50" w:right="105" w:rightChars="50" w:firstLine="96" w:firstLineChars="46"/>
              <w:rPr>
                <w:rFonts w:ascii="宋体" w:cs="宋体"/>
              </w:rPr>
            </w:pPr>
          </w:p>
          <w:p w14:paraId="1BAE2BB5">
            <w:pPr>
              <w:tabs>
                <w:tab w:val="left" w:pos="2604"/>
              </w:tabs>
              <w:spacing w:line="240" w:lineRule="exact"/>
              <w:ind w:left="105" w:leftChars="50" w:right="105" w:rightChars="50" w:firstLine="96" w:firstLineChars="46"/>
              <w:rPr>
                <w:rFonts w:hint="eastAsia" w:ascii="宋体" w:cs="宋体"/>
              </w:rPr>
            </w:pPr>
            <w:r>
              <w:rPr>
                <w:rFonts w:hint="eastAsia" w:ascii="宋体" w:cs="宋体"/>
              </w:rPr>
              <w:t>7</w:t>
            </w:r>
          </w:p>
          <w:p w14:paraId="42A5D0D8">
            <w:pPr>
              <w:tabs>
                <w:tab w:val="left" w:pos="2604"/>
              </w:tabs>
              <w:spacing w:line="240" w:lineRule="exact"/>
              <w:ind w:left="105" w:leftChars="50" w:right="105" w:rightChars="50" w:firstLine="96" w:firstLineChars="46"/>
              <w:rPr>
                <w:rFonts w:hint="eastAsia" w:ascii="宋体" w:cs="宋体"/>
              </w:rPr>
            </w:pPr>
          </w:p>
          <w:p w14:paraId="7C32F3D6">
            <w:pPr>
              <w:tabs>
                <w:tab w:val="left" w:pos="2604"/>
              </w:tabs>
              <w:spacing w:line="240" w:lineRule="exact"/>
              <w:ind w:left="105" w:leftChars="50" w:right="105" w:rightChars="50" w:firstLine="96" w:firstLineChars="46"/>
              <w:rPr>
                <w:rFonts w:hint="eastAsia" w:ascii="宋体" w:cs="宋体"/>
              </w:rPr>
            </w:pPr>
          </w:p>
          <w:p w14:paraId="4E54083C">
            <w:pPr>
              <w:tabs>
                <w:tab w:val="left" w:pos="2604"/>
              </w:tabs>
              <w:spacing w:line="240" w:lineRule="exact"/>
              <w:ind w:left="105" w:leftChars="50" w:right="105" w:rightChars="50" w:firstLine="96" w:firstLineChars="46"/>
              <w:rPr>
                <w:rFonts w:ascii="宋体" w:cs="宋体"/>
              </w:rPr>
            </w:pPr>
          </w:p>
        </w:tc>
        <w:tc>
          <w:tcPr>
            <w:tcW w:w="1576" w:type="pct"/>
            <w:tcMar>
              <w:top w:w="10" w:type="dxa"/>
              <w:left w:w="10" w:type="dxa"/>
              <w:bottom w:w="0" w:type="dxa"/>
              <w:right w:w="10" w:type="dxa"/>
            </w:tcMar>
            <w:vAlign w:val="center"/>
          </w:tcPr>
          <w:p w14:paraId="62C664D8">
            <w:pPr>
              <w:tabs>
                <w:tab w:val="left" w:pos="2604"/>
              </w:tabs>
              <w:spacing w:line="240" w:lineRule="exact"/>
              <w:ind w:left="105" w:leftChars="50" w:right="105" w:rightChars="50" w:firstLine="96" w:firstLineChars="46"/>
              <w:rPr>
                <w:rFonts w:ascii="宋体" w:cs="宋体"/>
              </w:rPr>
            </w:pPr>
            <w:r>
              <w:rPr>
                <w:rFonts w:hint="eastAsia" w:ascii="宋体" w:hAnsi="宋体" w:cs="宋体"/>
              </w:rPr>
              <w:t>达到质量标准（绩效标准值）的实际工作数与计划工作数的比率</w:t>
            </w:r>
            <w:r>
              <w:rPr>
                <w:rFonts w:ascii="宋体" w:hAnsi="宋体" w:cs="宋体"/>
              </w:rPr>
              <w:t>,</w:t>
            </w:r>
            <w:r>
              <w:rPr>
                <w:rFonts w:hint="eastAsia" w:ascii="宋体" w:hAnsi="宋体" w:cs="宋体"/>
              </w:rPr>
              <w:t>用以反映和考核部门履职质量目标的实现程度。</w:t>
            </w:r>
          </w:p>
        </w:tc>
        <w:tc>
          <w:tcPr>
            <w:tcW w:w="1867" w:type="pct"/>
            <w:tcMar>
              <w:top w:w="10" w:type="dxa"/>
              <w:left w:w="10" w:type="dxa"/>
              <w:bottom w:w="0" w:type="dxa"/>
              <w:right w:w="10" w:type="dxa"/>
            </w:tcMar>
            <w:vAlign w:val="center"/>
          </w:tcPr>
          <w:p w14:paraId="38A8BD87">
            <w:pPr>
              <w:spacing w:line="240" w:lineRule="exact"/>
              <w:ind w:left="105" w:leftChars="50" w:right="105" w:rightChars="50"/>
              <w:rPr>
                <w:rFonts w:ascii="宋体" w:hAnsi="宋体" w:cs="宋体"/>
              </w:rPr>
            </w:pPr>
            <w:r>
              <w:rPr>
                <w:rFonts w:hint="eastAsia" w:ascii="宋体" w:hAnsi="宋体" w:cs="宋体"/>
              </w:rPr>
              <w:t>质量达标率</w:t>
            </w:r>
            <w:r>
              <w:rPr>
                <w:rFonts w:ascii="宋体" w:hAnsi="宋体" w:cs="宋体"/>
              </w:rPr>
              <w:t>=</w:t>
            </w:r>
            <w:r>
              <w:rPr>
                <w:rFonts w:hint="eastAsia" w:ascii="宋体" w:hAnsi="宋体" w:cs="宋体"/>
              </w:rPr>
              <w:t>（质量达标实际工作数</w:t>
            </w:r>
            <w:r>
              <w:rPr>
                <w:rFonts w:ascii="宋体" w:hAnsi="宋体" w:cs="宋体"/>
              </w:rPr>
              <w:t>/</w:t>
            </w:r>
            <w:r>
              <w:rPr>
                <w:rFonts w:hint="eastAsia" w:ascii="宋体" w:hAnsi="宋体" w:cs="宋体"/>
              </w:rPr>
              <w:t>计划工作数）×</w:t>
            </w:r>
            <w:r>
              <w:rPr>
                <w:rFonts w:ascii="宋体" w:hAnsi="宋体" w:cs="宋体"/>
              </w:rPr>
              <w:t>100%</w:t>
            </w:r>
            <w:r>
              <w:rPr>
                <w:rFonts w:hint="eastAsia" w:ascii="宋体" w:hAnsi="宋体" w:cs="宋体"/>
              </w:rPr>
              <w:t>。</w:t>
            </w:r>
          </w:p>
          <w:p w14:paraId="28ABA4E9">
            <w:pPr>
              <w:spacing w:line="240" w:lineRule="exact"/>
              <w:ind w:left="105" w:leftChars="50" w:right="105" w:rightChars="50"/>
              <w:rPr>
                <w:rFonts w:ascii="宋体" w:cs="宋体"/>
              </w:rPr>
            </w:pPr>
            <w:r>
              <w:rPr>
                <w:rFonts w:hint="eastAsia" w:ascii="宋体" w:hAnsi="宋体" w:cs="宋体"/>
              </w:rPr>
              <w:t>质量达标实际工作数：一定时期（年度或规划期）内部门实际完成工作数中达到部门绩效目标要求（绩效标准值）的工作任务数量。</w:t>
            </w:r>
          </w:p>
        </w:tc>
      </w:tr>
      <w:tr w14:paraId="17E7C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5" w:hRule="atLeast"/>
          <w:jc w:val="center"/>
        </w:trPr>
        <w:tc>
          <w:tcPr>
            <w:tcW w:w="307" w:type="pct"/>
            <w:vMerge w:val="continue"/>
            <w:vAlign w:val="center"/>
          </w:tcPr>
          <w:p w14:paraId="7A1BF7C6">
            <w:pPr>
              <w:spacing w:line="240" w:lineRule="exact"/>
              <w:rPr>
                <w:rFonts w:ascii="宋体" w:cs="宋体"/>
              </w:rPr>
            </w:pPr>
          </w:p>
        </w:tc>
        <w:tc>
          <w:tcPr>
            <w:tcW w:w="375" w:type="pct"/>
            <w:vMerge w:val="continue"/>
            <w:vAlign w:val="center"/>
          </w:tcPr>
          <w:p w14:paraId="4C5B3D08">
            <w:pPr>
              <w:spacing w:line="240" w:lineRule="exact"/>
              <w:rPr>
                <w:rFonts w:ascii="宋体" w:cs="宋体"/>
              </w:rPr>
            </w:pPr>
          </w:p>
        </w:tc>
        <w:tc>
          <w:tcPr>
            <w:tcW w:w="500" w:type="pct"/>
            <w:tcMar>
              <w:top w:w="10" w:type="dxa"/>
              <w:left w:w="10" w:type="dxa"/>
              <w:bottom w:w="0" w:type="dxa"/>
              <w:right w:w="10" w:type="dxa"/>
            </w:tcMar>
            <w:vAlign w:val="center"/>
          </w:tcPr>
          <w:p w14:paraId="10C4A7A8">
            <w:pPr>
              <w:spacing w:line="240" w:lineRule="exact"/>
              <w:jc w:val="center"/>
              <w:rPr>
                <w:rFonts w:ascii="宋体" w:cs="宋体"/>
              </w:rPr>
            </w:pPr>
            <w:r>
              <w:rPr>
                <w:rFonts w:hint="eastAsia" w:ascii="宋体" w:hAnsi="宋体" w:cs="宋体"/>
              </w:rPr>
              <w:t>重点工作</w:t>
            </w:r>
          </w:p>
          <w:p w14:paraId="77C718A6">
            <w:pPr>
              <w:spacing w:line="240" w:lineRule="exact"/>
              <w:jc w:val="center"/>
              <w:rPr>
                <w:rFonts w:ascii="宋体" w:cs="宋体"/>
              </w:rPr>
            </w:pPr>
            <w:r>
              <w:rPr>
                <w:rFonts w:hint="eastAsia" w:ascii="宋体" w:hAnsi="宋体" w:cs="宋体"/>
              </w:rPr>
              <w:t>办结率（</w:t>
            </w:r>
            <w:r>
              <w:rPr>
                <w:rFonts w:ascii="宋体" w:hAnsi="宋体" w:cs="宋体"/>
              </w:rPr>
              <w:t>10</w:t>
            </w:r>
            <w:r>
              <w:rPr>
                <w:rFonts w:hint="eastAsia" w:ascii="宋体" w:hAnsi="宋体" w:cs="宋体"/>
              </w:rPr>
              <w:t>分）</w:t>
            </w:r>
          </w:p>
        </w:tc>
        <w:tc>
          <w:tcPr>
            <w:tcW w:w="375" w:type="pct"/>
            <w:tcMar>
              <w:top w:w="10" w:type="dxa"/>
              <w:left w:w="10" w:type="dxa"/>
              <w:bottom w:w="0" w:type="dxa"/>
              <w:right w:w="10" w:type="dxa"/>
            </w:tcMar>
          </w:tcPr>
          <w:p w14:paraId="585CCC34">
            <w:pPr>
              <w:tabs>
                <w:tab w:val="left" w:pos="2604"/>
              </w:tabs>
              <w:spacing w:line="240" w:lineRule="exact"/>
              <w:ind w:left="105" w:leftChars="50" w:right="105" w:rightChars="50" w:firstLine="96" w:firstLineChars="46"/>
              <w:rPr>
                <w:rFonts w:ascii="宋体" w:cs="宋体"/>
              </w:rPr>
            </w:pPr>
          </w:p>
          <w:p w14:paraId="09CE3142">
            <w:pPr>
              <w:tabs>
                <w:tab w:val="left" w:pos="2604"/>
              </w:tabs>
              <w:spacing w:line="240" w:lineRule="exact"/>
              <w:ind w:left="105" w:leftChars="50" w:right="105" w:rightChars="50" w:firstLine="96" w:firstLineChars="46"/>
              <w:rPr>
                <w:rFonts w:ascii="宋体" w:cs="宋体"/>
              </w:rPr>
            </w:pPr>
          </w:p>
          <w:p w14:paraId="37683A1D">
            <w:pPr>
              <w:tabs>
                <w:tab w:val="left" w:pos="2604"/>
              </w:tabs>
              <w:spacing w:line="240" w:lineRule="exact"/>
              <w:ind w:left="105" w:leftChars="50" w:right="105" w:rightChars="50" w:firstLine="96" w:firstLineChars="46"/>
              <w:rPr>
                <w:rFonts w:hint="eastAsia" w:ascii="宋体" w:cs="宋体"/>
              </w:rPr>
            </w:pPr>
            <w:r>
              <w:rPr>
                <w:rFonts w:hint="eastAsia" w:ascii="宋体" w:cs="宋体"/>
              </w:rPr>
              <w:t>9</w:t>
            </w:r>
          </w:p>
          <w:p w14:paraId="1306B441">
            <w:pPr>
              <w:tabs>
                <w:tab w:val="left" w:pos="2604"/>
              </w:tabs>
              <w:spacing w:line="240" w:lineRule="exact"/>
              <w:ind w:left="105" w:leftChars="50" w:right="105" w:rightChars="50" w:firstLine="96" w:firstLineChars="46"/>
              <w:rPr>
                <w:rFonts w:hint="eastAsia" w:ascii="宋体" w:cs="宋体"/>
              </w:rPr>
            </w:pPr>
          </w:p>
          <w:p w14:paraId="292AD0FA">
            <w:pPr>
              <w:tabs>
                <w:tab w:val="left" w:pos="2604"/>
              </w:tabs>
              <w:spacing w:line="240" w:lineRule="exact"/>
              <w:ind w:left="105" w:leftChars="50" w:right="105" w:rightChars="50" w:firstLine="96" w:firstLineChars="46"/>
              <w:rPr>
                <w:rFonts w:ascii="宋体" w:cs="宋体"/>
              </w:rPr>
            </w:pPr>
          </w:p>
        </w:tc>
        <w:tc>
          <w:tcPr>
            <w:tcW w:w="1576" w:type="pct"/>
            <w:tcMar>
              <w:top w:w="10" w:type="dxa"/>
              <w:left w:w="10" w:type="dxa"/>
              <w:bottom w:w="0" w:type="dxa"/>
              <w:right w:w="10" w:type="dxa"/>
            </w:tcMar>
            <w:vAlign w:val="center"/>
          </w:tcPr>
          <w:p w14:paraId="0B2B3149">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部门年度重点工作实际完成数与交办或下达数的比率，用以反映部门对重点工作的办理落实程度。</w:t>
            </w:r>
          </w:p>
        </w:tc>
        <w:tc>
          <w:tcPr>
            <w:tcW w:w="1867" w:type="pct"/>
            <w:tcMar>
              <w:top w:w="10" w:type="dxa"/>
              <w:left w:w="10" w:type="dxa"/>
              <w:bottom w:w="0" w:type="dxa"/>
              <w:right w:w="10" w:type="dxa"/>
            </w:tcMar>
            <w:vAlign w:val="center"/>
          </w:tcPr>
          <w:p w14:paraId="17753977">
            <w:pPr>
              <w:spacing w:line="240" w:lineRule="exact"/>
              <w:ind w:left="105" w:leftChars="50" w:right="105" w:rightChars="50"/>
              <w:rPr>
                <w:rFonts w:ascii="宋体" w:hAnsi="宋体" w:cs="宋体"/>
              </w:rPr>
            </w:pPr>
            <w:r>
              <w:rPr>
                <w:rFonts w:hint="eastAsia" w:ascii="宋体" w:hAnsi="宋体" w:cs="宋体"/>
              </w:rPr>
              <w:t>重点工作办结率</w:t>
            </w:r>
            <w:r>
              <w:rPr>
                <w:rFonts w:ascii="宋体" w:hAnsi="宋体" w:cs="宋体"/>
              </w:rPr>
              <w:t>=</w:t>
            </w:r>
            <w:r>
              <w:rPr>
                <w:rFonts w:hint="eastAsia" w:ascii="宋体" w:hAnsi="宋体" w:cs="宋体"/>
              </w:rPr>
              <w:t>（重点工作实际完成数</w:t>
            </w:r>
            <w:r>
              <w:rPr>
                <w:rFonts w:ascii="宋体" w:hAnsi="宋体" w:cs="宋体"/>
              </w:rPr>
              <w:t>/</w:t>
            </w:r>
            <w:r>
              <w:rPr>
                <w:rFonts w:hint="eastAsia" w:ascii="宋体" w:hAnsi="宋体" w:cs="宋体"/>
              </w:rPr>
              <w:t>交办或下达数）×</w:t>
            </w:r>
            <w:r>
              <w:rPr>
                <w:rFonts w:ascii="宋体" w:hAnsi="宋体" w:cs="宋体"/>
              </w:rPr>
              <w:t>100%</w:t>
            </w:r>
            <w:r>
              <w:rPr>
                <w:rFonts w:hint="eastAsia" w:ascii="宋体" w:hAnsi="宋体" w:cs="宋体"/>
              </w:rPr>
              <w:t>。</w:t>
            </w:r>
          </w:p>
          <w:p w14:paraId="4E60BD96">
            <w:pPr>
              <w:spacing w:line="240" w:lineRule="exact"/>
              <w:ind w:left="105" w:leftChars="50" w:right="105" w:rightChars="50"/>
              <w:rPr>
                <w:rFonts w:ascii="宋体" w:cs="宋体"/>
              </w:rPr>
            </w:pPr>
            <w:r>
              <w:rPr>
                <w:rFonts w:hint="eastAsia" w:ascii="宋体" w:hAnsi="宋体" w:cs="宋体"/>
              </w:rPr>
              <w:t>重点工作是指党委、政府、人大、相关部门交办或下达的工作任务。</w:t>
            </w:r>
          </w:p>
        </w:tc>
      </w:tr>
      <w:tr w14:paraId="5F4ED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atLeast"/>
          <w:jc w:val="center"/>
        </w:trPr>
        <w:tc>
          <w:tcPr>
            <w:tcW w:w="307" w:type="pct"/>
            <w:vMerge w:val="restart"/>
            <w:noWrap/>
            <w:tcMar>
              <w:top w:w="10" w:type="dxa"/>
              <w:left w:w="10" w:type="dxa"/>
              <w:bottom w:w="0" w:type="dxa"/>
              <w:right w:w="10" w:type="dxa"/>
            </w:tcMar>
            <w:textDirection w:val="tbRlV"/>
            <w:vAlign w:val="center"/>
          </w:tcPr>
          <w:p w14:paraId="13D3EAF7">
            <w:pPr>
              <w:spacing w:line="240" w:lineRule="exact"/>
              <w:jc w:val="center"/>
              <w:rPr>
                <w:rFonts w:ascii="宋体" w:cs="宋体"/>
              </w:rPr>
            </w:pPr>
            <w:r>
              <w:rPr>
                <w:rFonts w:hint="eastAsia" w:ascii="宋体" w:hAnsi="宋体" w:cs="宋体"/>
              </w:rPr>
              <w:t>效果（</w:t>
            </w:r>
            <w:r>
              <w:rPr>
                <w:rFonts w:ascii="宋体" w:hAnsi="宋体" w:cs="宋体"/>
              </w:rPr>
              <w:t>20</w:t>
            </w:r>
            <w:r>
              <w:rPr>
                <w:rFonts w:hint="eastAsia" w:ascii="宋体" w:hAnsi="宋体" w:cs="宋体"/>
              </w:rPr>
              <w:t>分）</w:t>
            </w:r>
          </w:p>
        </w:tc>
        <w:tc>
          <w:tcPr>
            <w:tcW w:w="375" w:type="pct"/>
            <w:vMerge w:val="restart"/>
            <w:tcMar>
              <w:top w:w="10" w:type="dxa"/>
              <w:left w:w="10" w:type="dxa"/>
              <w:bottom w:w="0" w:type="dxa"/>
              <w:right w:w="10" w:type="dxa"/>
            </w:tcMar>
            <w:vAlign w:val="center"/>
          </w:tcPr>
          <w:p w14:paraId="095F81E3">
            <w:pPr>
              <w:spacing w:line="240" w:lineRule="exact"/>
              <w:jc w:val="center"/>
              <w:rPr>
                <w:rFonts w:ascii="宋体" w:hAnsi="宋体" w:cs="宋体"/>
              </w:rPr>
            </w:pPr>
            <w:r>
              <w:rPr>
                <w:rFonts w:hint="eastAsia" w:ascii="宋体" w:hAnsi="宋体" w:cs="宋体"/>
              </w:rPr>
              <w:t>履职</w:t>
            </w:r>
          </w:p>
          <w:p w14:paraId="7CE8B706">
            <w:pPr>
              <w:spacing w:line="240" w:lineRule="exact"/>
              <w:jc w:val="center"/>
              <w:rPr>
                <w:rFonts w:ascii="宋体" w:cs="宋体"/>
              </w:rPr>
            </w:pPr>
            <w:r>
              <w:rPr>
                <w:rFonts w:hint="eastAsia" w:ascii="宋体" w:hAnsi="宋体" w:cs="宋体"/>
              </w:rPr>
              <w:t>效益（</w:t>
            </w:r>
            <w:r>
              <w:rPr>
                <w:rFonts w:ascii="宋体" w:hAnsi="宋体" w:cs="宋体"/>
              </w:rPr>
              <w:t>20</w:t>
            </w:r>
            <w:r>
              <w:rPr>
                <w:rFonts w:hint="eastAsia" w:ascii="宋体" w:hAnsi="宋体" w:cs="宋体"/>
              </w:rPr>
              <w:t>分）</w:t>
            </w:r>
          </w:p>
        </w:tc>
        <w:tc>
          <w:tcPr>
            <w:tcW w:w="500" w:type="pct"/>
            <w:tcMar>
              <w:top w:w="10" w:type="dxa"/>
              <w:left w:w="10" w:type="dxa"/>
              <w:bottom w:w="0" w:type="dxa"/>
              <w:right w:w="10" w:type="dxa"/>
            </w:tcMar>
            <w:vAlign w:val="center"/>
          </w:tcPr>
          <w:p w14:paraId="24045321">
            <w:pPr>
              <w:spacing w:line="240" w:lineRule="exact"/>
              <w:jc w:val="center"/>
              <w:rPr>
                <w:rFonts w:ascii="宋体" w:cs="宋体"/>
              </w:rPr>
            </w:pPr>
            <w:r>
              <w:rPr>
                <w:rFonts w:hint="eastAsia" w:ascii="宋体" w:hAnsi="宋体" w:cs="宋体"/>
              </w:rPr>
              <w:t>经济效益（</w:t>
            </w:r>
            <w:r>
              <w:rPr>
                <w:rFonts w:ascii="宋体" w:hAnsi="宋体" w:cs="宋体"/>
              </w:rPr>
              <w:t>5</w:t>
            </w:r>
            <w:r>
              <w:rPr>
                <w:rFonts w:hint="eastAsia" w:ascii="宋体" w:hAnsi="宋体" w:cs="宋体"/>
              </w:rPr>
              <w:t>分）</w:t>
            </w:r>
          </w:p>
        </w:tc>
        <w:tc>
          <w:tcPr>
            <w:tcW w:w="375" w:type="pct"/>
            <w:tcMar>
              <w:top w:w="10" w:type="dxa"/>
              <w:left w:w="10" w:type="dxa"/>
              <w:bottom w:w="0" w:type="dxa"/>
              <w:right w:w="10" w:type="dxa"/>
            </w:tcMar>
          </w:tcPr>
          <w:p w14:paraId="59B7E9FD">
            <w:pPr>
              <w:tabs>
                <w:tab w:val="left" w:pos="2604"/>
              </w:tabs>
              <w:spacing w:line="240" w:lineRule="exact"/>
              <w:ind w:left="105" w:leftChars="50" w:right="105" w:rightChars="50" w:firstLine="96" w:firstLineChars="46"/>
              <w:rPr>
                <w:rFonts w:ascii="宋体" w:cs="宋体"/>
              </w:rPr>
            </w:pPr>
          </w:p>
          <w:p w14:paraId="20F57752">
            <w:pPr>
              <w:tabs>
                <w:tab w:val="left" w:pos="2604"/>
              </w:tabs>
              <w:spacing w:line="240" w:lineRule="exact"/>
              <w:ind w:left="105" w:leftChars="50" w:right="105" w:rightChars="50" w:firstLine="96" w:firstLineChars="46"/>
              <w:rPr>
                <w:rFonts w:ascii="宋体" w:cs="宋体"/>
              </w:rPr>
            </w:pPr>
          </w:p>
          <w:p w14:paraId="54EDDC1D">
            <w:pPr>
              <w:tabs>
                <w:tab w:val="left" w:pos="2604"/>
              </w:tabs>
              <w:spacing w:line="240" w:lineRule="exact"/>
              <w:ind w:left="105" w:leftChars="50" w:right="105" w:rightChars="50" w:firstLine="96" w:firstLineChars="46"/>
              <w:rPr>
                <w:rFonts w:hint="eastAsia" w:ascii="宋体" w:cs="宋体"/>
              </w:rPr>
            </w:pPr>
            <w:r>
              <w:rPr>
                <w:rFonts w:hint="eastAsia" w:ascii="宋体" w:cs="宋体"/>
              </w:rPr>
              <w:t>5</w:t>
            </w:r>
          </w:p>
          <w:p w14:paraId="12814CA3">
            <w:pPr>
              <w:tabs>
                <w:tab w:val="left" w:pos="2604"/>
              </w:tabs>
              <w:spacing w:line="240" w:lineRule="exact"/>
              <w:ind w:left="105" w:leftChars="50" w:right="105" w:rightChars="50" w:firstLine="96" w:firstLineChars="46"/>
              <w:rPr>
                <w:rFonts w:hint="eastAsia" w:ascii="宋体" w:cs="宋体"/>
              </w:rPr>
            </w:pPr>
          </w:p>
          <w:p w14:paraId="760E6B16">
            <w:pPr>
              <w:tabs>
                <w:tab w:val="left" w:pos="2604"/>
              </w:tabs>
              <w:spacing w:line="240" w:lineRule="exact"/>
              <w:ind w:left="105" w:leftChars="50" w:right="105" w:rightChars="50" w:firstLine="96" w:firstLineChars="46"/>
              <w:rPr>
                <w:rFonts w:ascii="宋体" w:cs="宋体"/>
              </w:rPr>
            </w:pPr>
          </w:p>
        </w:tc>
        <w:tc>
          <w:tcPr>
            <w:tcW w:w="1576" w:type="pct"/>
            <w:tcMar>
              <w:top w:w="10" w:type="dxa"/>
              <w:left w:w="10" w:type="dxa"/>
              <w:bottom w:w="0" w:type="dxa"/>
              <w:right w:w="10" w:type="dxa"/>
            </w:tcMar>
            <w:vAlign w:val="center"/>
          </w:tcPr>
          <w:p w14:paraId="04684E20">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部门履行职责对经济发展所带来的直接或间接影响。</w:t>
            </w:r>
          </w:p>
        </w:tc>
        <w:tc>
          <w:tcPr>
            <w:tcW w:w="1867" w:type="pct"/>
            <w:vMerge w:val="restart"/>
            <w:tcMar>
              <w:top w:w="10" w:type="dxa"/>
              <w:left w:w="10" w:type="dxa"/>
              <w:bottom w:w="0" w:type="dxa"/>
              <w:right w:w="10" w:type="dxa"/>
            </w:tcMar>
            <w:vAlign w:val="center"/>
          </w:tcPr>
          <w:p w14:paraId="794904E5">
            <w:pPr>
              <w:spacing w:line="240" w:lineRule="exact"/>
              <w:ind w:left="105" w:leftChars="50" w:right="105" w:rightChars="50"/>
              <w:rPr>
                <w:rFonts w:ascii="宋体" w:cs="宋体"/>
              </w:rPr>
            </w:pPr>
            <w:r>
              <w:rPr>
                <w:rFonts w:hint="eastAsia" w:ascii="宋体" w:hAnsi="宋体" w:cs="宋体"/>
              </w:rPr>
              <w:t>此三项指标为设置部门整体支出绩效评价指标时必须考虑的共性要素，可根据部门实际并结合部门整体支出绩效目标设立情况有选择的进行设置，并将其细化为相应的个性化指标。</w:t>
            </w:r>
          </w:p>
        </w:tc>
      </w:tr>
      <w:tr w14:paraId="46445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atLeast"/>
          <w:jc w:val="center"/>
        </w:trPr>
        <w:tc>
          <w:tcPr>
            <w:tcW w:w="307" w:type="pct"/>
            <w:vMerge w:val="continue"/>
            <w:vAlign w:val="center"/>
          </w:tcPr>
          <w:p w14:paraId="72E6C9D0">
            <w:pPr>
              <w:spacing w:line="240" w:lineRule="exact"/>
              <w:rPr>
                <w:rFonts w:ascii="宋体" w:cs="宋体"/>
              </w:rPr>
            </w:pPr>
          </w:p>
        </w:tc>
        <w:tc>
          <w:tcPr>
            <w:tcW w:w="375" w:type="pct"/>
            <w:vMerge w:val="continue"/>
            <w:vAlign w:val="center"/>
          </w:tcPr>
          <w:p w14:paraId="4D8F95E9">
            <w:pPr>
              <w:spacing w:line="240" w:lineRule="exact"/>
              <w:rPr>
                <w:rFonts w:ascii="宋体" w:cs="宋体"/>
              </w:rPr>
            </w:pPr>
          </w:p>
        </w:tc>
        <w:tc>
          <w:tcPr>
            <w:tcW w:w="500" w:type="pct"/>
            <w:tcMar>
              <w:top w:w="10" w:type="dxa"/>
              <w:left w:w="10" w:type="dxa"/>
              <w:bottom w:w="0" w:type="dxa"/>
              <w:right w:w="10" w:type="dxa"/>
            </w:tcMar>
            <w:vAlign w:val="center"/>
          </w:tcPr>
          <w:p w14:paraId="5264C6C3">
            <w:pPr>
              <w:spacing w:line="240" w:lineRule="exact"/>
              <w:jc w:val="center"/>
              <w:rPr>
                <w:rFonts w:ascii="宋体" w:cs="宋体"/>
              </w:rPr>
            </w:pPr>
            <w:r>
              <w:rPr>
                <w:rFonts w:hint="eastAsia" w:ascii="宋体" w:hAnsi="宋体" w:cs="宋体"/>
              </w:rPr>
              <w:t>社会效益（</w:t>
            </w:r>
            <w:r>
              <w:rPr>
                <w:rFonts w:ascii="宋体" w:hAnsi="宋体" w:cs="宋体"/>
              </w:rPr>
              <w:t>5</w:t>
            </w:r>
            <w:r>
              <w:rPr>
                <w:rFonts w:hint="eastAsia" w:ascii="宋体" w:hAnsi="宋体" w:cs="宋体"/>
              </w:rPr>
              <w:t>分）</w:t>
            </w:r>
          </w:p>
        </w:tc>
        <w:tc>
          <w:tcPr>
            <w:tcW w:w="375" w:type="pct"/>
          </w:tcPr>
          <w:p w14:paraId="5A450BB8">
            <w:pPr>
              <w:tabs>
                <w:tab w:val="left" w:pos="2604"/>
              </w:tabs>
              <w:spacing w:line="240" w:lineRule="exact"/>
              <w:ind w:left="105" w:leftChars="50" w:right="105" w:rightChars="50" w:firstLine="96" w:firstLineChars="46"/>
              <w:rPr>
                <w:rFonts w:ascii="宋体" w:cs="宋体"/>
              </w:rPr>
            </w:pPr>
          </w:p>
          <w:p w14:paraId="12023D28">
            <w:pPr>
              <w:tabs>
                <w:tab w:val="left" w:pos="2604"/>
              </w:tabs>
              <w:spacing w:line="240" w:lineRule="exact"/>
              <w:ind w:left="105" w:leftChars="50" w:right="105" w:rightChars="50" w:firstLine="96" w:firstLineChars="46"/>
              <w:rPr>
                <w:rFonts w:ascii="宋体" w:cs="宋体"/>
              </w:rPr>
            </w:pPr>
          </w:p>
          <w:p w14:paraId="61AADB83">
            <w:pPr>
              <w:tabs>
                <w:tab w:val="left" w:pos="2604"/>
              </w:tabs>
              <w:spacing w:line="240" w:lineRule="exact"/>
              <w:ind w:left="105" w:leftChars="50" w:right="105" w:rightChars="50" w:firstLine="96" w:firstLineChars="46"/>
              <w:rPr>
                <w:rFonts w:hint="eastAsia" w:ascii="宋体" w:cs="宋体"/>
              </w:rPr>
            </w:pPr>
            <w:r>
              <w:rPr>
                <w:rFonts w:hint="eastAsia" w:ascii="宋体" w:cs="宋体"/>
              </w:rPr>
              <w:t>5</w:t>
            </w:r>
          </w:p>
          <w:p w14:paraId="4149ED82">
            <w:pPr>
              <w:tabs>
                <w:tab w:val="left" w:pos="2604"/>
              </w:tabs>
              <w:spacing w:line="240" w:lineRule="exact"/>
              <w:ind w:left="105" w:leftChars="50" w:right="105" w:rightChars="50" w:firstLine="96" w:firstLineChars="46"/>
              <w:rPr>
                <w:rFonts w:ascii="宋体" w:cs="宋体"/>
              </w:rPr>
            </w:pPr>
          </w:p>
        </w:tc>
        <w:tc>
          <w:tcPr>
            <w:tcW w:w="1576" w:type="pct"/>
            <w:tcMar>
              <w:top w:w="10" w:type="dxa"/>
              <w:left w:w="10" w:type="dxa"/>
              <w:bottom w:w="0" w:type="dxa"/>
              <w:right w:w="10" w:type="dxa"/>
            </w:tcMar>
            <w:vAlign w:val="center"/>
          </w:tcPr>
          <w:p w14:paraId="0A50D23C">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部门履行职责对社会发展所带来的直接或间接影响。</w:t>
            </w:r>
          </w:p>
        </w:tc>
        <w:tc>
          <w:tcPr>
            <w:tcW w:w="1867" w:type="pct"/>
            <w:vMerge w:val="continue"/>
            <w:vAlign w:val="center"/>
          </w:tcPr>
          <w:p w14:paraId="01C86887">
            <w:pPr>
              <w:spacing w:line="240" w:lineRule="exact"/>
              <w:ind w:left="105" w:leftChars="50" w:right="105" w:rightChars="50"/>
              <w:rPr>
                <w:rFonts w:ascii="宋体" w:cs="宋体"/>
              </w:rPr>
            </w:pPr>
          </w:p>
        </w:tc>
      </w:tr>
      <w:tr w14:paraId="2F5FE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atLeast"/>
          <w:jc w:val="center"/>
        </w:trPr>
        <w:tc>
          <w:tcPr>
            <w:tcW w:w="307" w:type="pct"/>
            <w:vMerge w:val="continue"/>
            <w:vAlign w:val="center"/>
          </w:tcPr>
          <w:p w14:paraId="47BD0C2B">
            <w:pPr>
              <w:spacing w:line="240" w:lineRule="exact"/>
              <w:rPr>
                <w:rFonts w:ascii="宋体" w:cs="宋体"/>
              </w:rPr>
            </w:pPr>
          </w:p>
        </w:tc>
        <w:tc>
          <w:tcPr>
            <w:tcW w:w="375" w:type="pct"/>
            <w:vMerge w:val="continue"/>
            <w:vAlign w:val="center"/>
          </w:tcPr>
          <w:p w14:paraId="16BF13D3">
            <w:pPr>
              <w:spacing w:line="240" w:lineRule="exact"/>
              <w:rPr>
                <w:rFonts w:ascii="宋体" w:cs="宋体"/>
              </w:rPr>
            </w:pPr>
          </w:p>
        </w:tc>
        <w:tc>
          <w:tcPr>
            <w:tcW w:w="500" w:type="pct"/>
            <w:tcMar>
              <w:top w:w="10" w:type="dxa"/>
              <w:left w:w="10" w:type="dxa"/>
              <w:bottom w:w="0" w:type="dxa"/>
              <w:right w:w="10" w:type="dxa"/>
            </w:tcMar>
            <w:vAlign w:val="center"/>
          </w:tcPr>
          <w:p w14:paraId="51503E00">
            <w:pPr>
              <w:spacing w:line="240" w:lineRule="exact"/>
              <w:jc w:val="center"/>
              <w:rPr>
                <w:rFonts w:ascii="宋体" w:cs="宋体"/>
              </w:rPr>
            </w:pPr>
            <w:r>
              <w:rPr>
                <w:rFonts w:hint="eastAsia" w:ascii="宋体" w:hAnsi="宋体" w:cs="宋体"/>
              </w:rPr>
              <w:t>生态效益（</w:t>
            </w:r>
            <w:r>
              <w:rPr>
                <w:rFonts w:ascii="宋体" w:hAnsi="宋体" w:cs="宋体"/>
              </w:rPr>
              <w:t>5</w:t>
            </w:r>
            <w:r>
              <w:rPr>
                <w:rFonts w:hint="eastAsia" w:ascii="宋体" w:hAnsi="宋体" w:cs="宋体"/>
              </w:rPr>
              <w:t>分）</w:t>
            </w:r>
          </w:p>
        </w:tc>
        <w:tc>
          <w:tcPr>
            <w:tcW w:w="375" w:type="pct"/>
          </w:tcPr>
          <w:p w14:paraId="11FF3A43">
            <w:pPr>
              <w:tabs>
                <w:tab w:val="left" w:pos="2604"/>
              </w:tabs>
              <w:spacing w:line="240" w:lineRule="exact"/>
              <w:ind w:left="105" w:leftChars="50" w:right="105" w:rightChars="50" w:firstLine="96" w:firstLineChars="46"/>
              <w:rPr>
                <w:rFonts w:ascii="宋体" w:cs="宋体"/>
              </w:rPr>
            </w:pPr>
          </w:p>
          <w:p w14:paraId="7C88AAAD">
            <w:pPr>
              <w:tabs>
                <w:tab w:val="left" w:pos="2604"/>
              </w:tabs>
              <w:spacing w:line="240" w:lineRule="exact"/>
              <w:ind w:left="105" w:leftChars="50" w:right="105" w:rightChars="50" w:firstLine="96" w:firstLineChars="46"/>
              <w:rPr>
                <w:rFonts w:hint="eastAsia" w:ascii="宋体" w:cs="宋体"/>
              </w:rPr>
            </w:pPr>
            <w:r>
              <w:rPr>
                <w:rFonts w:hint="eastAsia" w:ascii="宋体" w:cs="宋体"/>
              </w:rPr>
              <w:t>5</w:t>
            </w:r>
          </w:p>
          <w:p w14:paraId="0027519F">
            <w:pPr>
              <w:tabs>
                <w:tab w:val="left" w:pos="2604"/>
              </w:tabs>
              <w:spacing w:line="240" w:lineRule="exact"/>
              <w:ind w:left="105" w:leftChars="50" w:right="105" w:rightChars="50" w:firstLine="96" w:firstLineChars="46"/>
              <w:rPr>
                <w:rFonts w:hint="eastAsia" w:ascii="宋体" w:cs="宋体"/>
              </w:rPr>
            </w:pPr>
          </w:p>
          <w:p w14:paraId="6890F4D1">
            <w:pPr>
              <w:tabs>
                <w:tab w:val="left" w:pos="2604"/>
              </w:tabs>
              <w:spacing w:line="240" w:lineRule="exact"/>
              <w:ind w:left="105" w:leftChars="50" w:right="105" w:rightChars="50" w:firstLine="96" w:firstLineChars="46"/>
              <w:rPr>
                <w:rFonts w:hint="eastAsia" w:ascii="宋体" w:cs="宋体"/>
              </w:rPr>
            </w:pPr>
          </w:p>
          <w:p w14:paraId="72F4254B">
            <w:pPr>
              <w:tabs>
                <w:tab w:val="left" w:pos="2604"/>
              </w:tabs>
              <w:spacing w:line="240" w:lineRule="exact"/>
              <w:ind w:left="105" w:leftChars="50" w:right="105" w:rightChars="50" w:firstLine="96" w:firstLineChars="46"/>
              <w:rPr>
                <w:rFonts w:ascii="宋体" w:cs="宋体"/>
              </w:rPr>
            </w:pPr>
          </w:p>
        </w:tc>
        <w:tc>
          <w:tcPr>
            <w:tcW w:w="1576" w:type="pct"/>
            <w:tcMar>
              <w:top w:w="10" w:type="dxa"/>
              <w:left w:w="10" w:type="dxa"/>
              <w:bottom w:w="0" w:type="dxa"/>
              <w:right w:w="10" w:type="dxa"/>
            </w:tcMar>
            <w:vAlign w:val="center"/>
          </w:tcPr>
          <w:p w14:paraId="5D0B0A4C">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部门履行职责对生态环境所带来的直接或间接影响。</w:t>
            </w:r>
          </w:p>
        </w:tc>
        <w:tc>
          <w:tcPr>
            <w:tcW w:w="1867" w:type="pct"/>
            <w:vMerge w:val="continue"/>
            <w:vAlign w:val="center"/>
          </w:tcPr>
          <w:p w14:paraId="01160DFC">
            <w:pPr>
              <w:spacing w:line="240" w:lineRule="exact"/>
              <w:ind w:left="105" w:leftChars="50" w:right="105" w:rightChars="50"/>
              <w:rPr>
                <w:rFonts w:ascii="宋体" w:cs="宋体"/>
              </w:rPr>
            </w:pPr>
          </w:p>
        </w:tc>
      </w:tr>
      <w:tr w14:paraId="0068D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63" w:hRule="atLeast"/>
          <w:jc w:val="center"/>
        </w:trPr>
        <w:tc>
          <w:tcPr>
            <w:tcW w:w="307" w:type="pct"/>
            <w:vMerge w:val="continue"/>
            <w:vAlign w:val="center"/>
          </w:tcPr>
          <w:p w14:paraId="03034E81">
            <w:pPr>
              <w:spacing w:line="240" w:lineRule="exact"/>
              <w:rPr>
                <w:rFonts w:ascii="宋体" w:cs="宋体"/>
              </w:rPr>
            </w:pPr>
          </w:p>
        </w:tc>
        <w:tc>
          <w:tcPr>
            <w:tcW w:w="375" w:type="pct"/>
            <w:vMerge w:val="continue"/>
            <w:vAlign w:val="center"/>
          </w:tcPr>
          <w:p w14:paraId="0DBD040C">
            <w:pPr>
              <w:spacing w:line="240" w:lineRule="exact"/>
              <w:rPr>
                <w:rFonts w:ascii="宋体" w:cs="宋体"/>
              </w:rPr>
            </w:pPr>
          </w:p>
        </w:tc>
        <w:tc>
          <w:tcPr>
            <w:tcW w:w="500" w:type="pct"/>
            <w:tcMar>
              <w:top w:w="10" w:type="dxa"/>
              <w:left w:w="10" w:type="dxa"/>
              <w:bottom w:w="0" w:type="dxa"/>
              <w:right w:w="10" w:type="dxa"/>
            </w:tcMar>
            <w:vAlign w:val="center"/>
          </w:tcPr>
          <w:p w14:paraId="2C1B103A">
            <w:pPr>
              <w:spacing w:line="240" w:lineRule="exact"/>
              <w:jc w:val="center"/>
              <w:rPr>
                <w:rFonts w:ascii="宋体" w:cs="宋体"/>
              </w:rPr>
            </w:pPr>
            <w:r>
              <w:rPr>
                <w:rFonts w:hint="eastAsia" w:ascii="宋体" w:hAnsi="宋体" w:cs="宋体"/>
              </w:rPr>
              <w:t>社会公众</w:t>
            </w:r>
          </w:p>
          <w:p w14:paraId="6A8669AA">
            <w:pPr>
              <w:spacing w:line="240" w:lineRule="exact"/>
              <w:jc w:val="center"/>
              <w:rPr>
                <w:rFonts w:ascii="宋体" w:cs="宋体"/>
              </w:rPr>
            </w:pPr>
            <w:r>
              <w:rPr>
                <w:rFonts w:hint="eastAsia" w:ascii="宋体" w:hAnsi="宋体" w:cs="宋体"/>
              </w:rPr>
              <w:t>或服务对</w:t>
            </w:r>
          </w:p>
          <w:p w14:paraId="09C0FE4D">
            <w:pPr>
              <w:spacing w:line="240" w:lineRule="exact"/>
              <w:jc w:val="center"/>
              <w:rPr>
                <w:rFonts w:ascii="宋体" w:cs="宋体"/>
              </w:rPr>
            </w:pPr>
            <w:r>
              <w:rPr>
                <w:rFonts w:hint="eastAsia" w:ascii="宋体" w:hAnsi="宋体" w:cs="宋体"/>
              </w:rPr>
              <w:t>象满意度（</w:t>
            </w:r>
            <w:r>
              <w:rPr>
                <w:rFonts w:ascii="宋体" w:hAnsi="宋体" w:cs="宋体"/>
              </w:rPr>
              <w:t>5</w:t>
            </w:r>
            <w:r>
              <w:rPr>
                <w:rFonts w:hint="eastAsia" w:ascii="宋体" w:hAnsi="宋体" w:cs="宋体"/>
              </w:rPr>
              <w:t>分）</w:t>
            </w:r>
          </w:p>
        </w:tc>
        <w:tc>
          <w:tcPr>
            <w:tcW w:w="375" w:type="pct"/>
            <w:tcMar>
              <w:top w:w="10" w:type="dxa"/>
              <w:left w:w="10" w:type="dxa"/>
              <w:bottom w:w="0" w:type="dxa"/>
              <w:right w:w="10" w:type="dxa"/>
            </w:tcMar>
          </w:tcPr>
          <w:p w14:paraId="564F78FA">
            <w:pPr>
              <w:tabs>
                <w:tab w:val="left" w:pos="2604"/>
              </w:tabs>
              <w:spacing w:line="240" w:lineRule="exact"/>
              <w:ind w:left="105" w:leftChars="50" w:right="105" w:rightChars="50" w:firstLine="96" w:firstLineChars="46"/>
              <w:rPr>
                <w:rFonts w:ascii="宋体" w:cs="宋体"/>
              </w:rPr>
            </w:pPr>
          </w:p>
          <w:p w14:paraId="76254B41">
            <w:pPr>
              <w:tabs>
                <w:tab w:val="left" w:pos="2604"/>
              </w:tabs>
              <w:spacing w:line="240" w:lineRule="exact"/>
              <w:ind w:left="105" w:leftChars="50" w:right="105" w:rightChars="50" w:firstLine="96" w:firstLineChars="46"/>
              <w:rPr>
                <w:rFonts w:hint="eastAsia" w:ascii="宋体" w:cs="宋体"/>
              </w:rPr>
            </w:pPr>
            <w:r>
              <w:rPr>
                <w:rFonts w:hint="eastAsia" w:ascii="宋体" w:cs="宋体"/>
              </w:rPr>
              <w:t>5</w:t>
            </w:r>
          </w:p>
          <w:p w14:paraId="78D64AAD">
            <w:pPr>
              <w:tabs>
                <w:tab w:val="left" w:pos="2604"/>
              </w:tabs>
              <w:spacing w:line="240" w:lineRule="exact"/>
              <w:ind w:left="105" w:leftChars="50" w:right="105" w:rightChars="50" w:firstLine="96" w:firstLineChars="46"/>
              <w:rPr>
                <w:rFonts w:hint="eastAsia" w:ascii="宋体" w:cs="宋体"/>
              </w:rPr>
            </w:pPr>
          </w:p>
          <w:p w14:paraId="209067BD">
            <w:pPr>
              <w:tabs>
                <w:tab w:val="left" w:pos="2604"/>
              </w:tabs>
              <w:spacing w:line="240" w:lineRule="exact"/>
              <w:ind w:left="105" w:leftChars="50" w:right="105" w:rightChars="50" w:firstLine="96" w:firstLineChars="46"/>
              <w:rPr>
                <w:rFonts w:hint="eastAsia" w:ascii="宋体" w:cs="宋体"/>
              </w:rPr>
            </w:pPr>
          </w:p>
          <w:p w14:paraId="43ED4D29">
            <w:pPr>
              <w:tabs>
                <w:tab w:val="left" w:pos="2604"/>
              </w:tabs>
              <w:spacing w:line="240" w:lineRule="exact"/>
              <w:ind w:left="105" w:leftChars="50" w:right="105" w:rightChars="50" w:firstLine="96" w:firstLineChars="46"/>
              <w:rPr>
                <w:rFonts w:ascii="宋体" w:cs="宋体"/>
              </w:rPr>
            </w:pPr>
          </w:p>
        </w:tc>
        <w:tc>
          <w:tcPr>
            <w:tcW w:w="1576" w:type="pct"/>
            <w:tcMar>
              <w:top w:w="10" w:type="dxa"/>
              <w:left w:w="10" w:type="dxa"/>
              <w:bottom w:w="0" w:type="dxa"/>
              <w:right w:w="10" w:type="dxa"/>
            </w:tcMar>
            <w:vAlign w:val="center"/>
          </w:tcPr>
          <w:p w14:paraId="454F4B19">
            <w:pPr>
              <w:tabs>
                <w:tab w:val="left" w:pos="2604"/>
              </w:tabs>
              <w:spacing w:line="240" w:lineRule="exact"/>
              <w:ind w:left="105" w:leftChars="50" w:right="105" w:rightChars="50" w:firstLine="96" w:firstLineChars="46"/>
              <w:rPr>
                <w:rFonts w:ascii="宋体" w:cs="宋体"/>
              </w:rPr>
            </w:pPr>
            <w:r>
              <w:rPr>
                <w:rFonts w:hint="eastAsia" w:ascii="宋体" w:hAnsi="宋体" w:cs="宋体"/>
              </w:rPr>
              <w:t>社会公众或部门的服务对象对部门履职效果的满意程度。</w:t>
            </w:r>
          </w:p>
        </w:tc>
        <w:tc>
          <w:tcPr>
            <w:tcW w:w="1867" w:type="pct"/>
            <w:tcMar>
              <w:top w:w="10" w:type="dxa"/>
              <w:left w:w="10" w:type="dxa"/>
              <w:bottom w:w="0" w:type="dxa"/>
              <w:right w:w="10" w:type="dxa"/>
            </w:tcMar>
            <w:vAlign w:val="center"/>
          </w:tcPr>
          <w:p w14:paraId="161E345B">
            <w:pPr>
              <w:spacing w:line="240" w:lineRule="exact"/>
              <w:ind w:left="105" w:leftChars="50" w:right="105" w:rightChars="50"/>
              <w:rPr>
                <w:rFonts w:ascii="宋体" w:cs="宋体"/>
              </w:rPr>
            </w:pPr>
            <w:r>
              <w:rPr>
                <w:rFonts w:hint="eastAsia" w:ascii="宋体" w:hAnsi="宋体" w:cs="宋体"/>
              </w:rPr>
              <w:t>社会公众或服务对象是指部门履行职责而影响到的部门、群体或个人。一般采取社会调查的方式。</w:t>
            </w:r>
          </w:p>
        </w:tc>
      </w:tr>
      <w:tr w14:paraId="562D6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2" w:hRule="atLeast"/>
          <w:jc w:val="center"/>
        </w:trPr>
        <w:tc>
          <w:tcPr>
            <w:tcW w:w="307" w:type="pct"/>
            <w:vAlign w:val="center"/>
          </w:tcPr>
          <w:p w14:paraId="28CD911D">
            <w:pPr>
              <w:spacing w:line="240" w:lineRule="exact"/>
              <w:rPr>
                <w:rFonts w:ascii="宋体" w:cs="宋体"/>
              </w:rPr>
            </w:pPr>
            <w:r>
              <w:rPr>
                <w:rFonts w:hint="eastAsia" w:ascii="宋体" w:hAnsi="宋体" w:cs="宋体"/>
              </w:rPr>
              <w:t>总分</w:t>
            </w:r>
          </w:p>
        </w:tc>
        <w:tc>
          <w:tcPr>
            <w:tcW w:w="375" w:type="pct"/>
            <w:vAlign w:val="center"/>
          </w:tcPr>
          <w:p w14:paraId="7E0D0F6E">
            <w:pPr>
              <w:spacing w:line="240" w:lineRule="exact"/>
              <w:rPr>
                <w:rFonts w:ascii="宋体" w:cs="宋体"/>
              </w:rPr>
            </w:pPr>
          </w:p>
        </w:tc>
        <w:tc>
          <w:tcPr>
            <w:tcW w:w="500" w:type="pct"/>
            <w:tcMar>
              <w:top w:w="10" w:type="dxa"/>
              <w:left w:w="10" w:type="dxa"/>
              <w:bottom w:w="0" w:type="dxa"/>
              <w:right w:w="10" w:type="dxa"/>
            </w:tcMar>
            <w:vAlign w:val="center"/>
          </w:tcPr>
          <w:p w14:paraId="05ED7F86">
            <w:pPr>
              <w:spacing w:line="240" w:lineRule="exact"/>
              <w:jc w:val="center"/>
              <w:rPr>
                <w:rFonts w:ascii="宋体" w:cs="宋体"/>
              </w:rPr>
            </w:pPr>
          </w:p>
        </w:tc>
        <w:tc>
          <w:tcPr>
            <w:tcW w:w="375" w:type="pct"/>
            <w:tcMar>
              <w:top w:w="10" w:type="dxa"/>
              <w:left w:w="10" w:type="dxa"/>
              <w:bottom w:w="0" w:type="dxa"/>
              <w:right w:w="10" w:type="dxa"/>
            </w:tcMar>
          </w:tcPr>
          <w:p w14:paraId="26D3C32C">
            <w:pPr>
              <w:tabs>
                <w:tab w:val="left" w:pos="2604"/>
              </w:tabs>
              <w:spacing w:line="240" w:lineRule="exact"/>
              <w:ind w:left="105" w:leftChars="50" w:right="105" w:rightChars="50" w:firstLine="96" w:firstLineChars="46"/>
              <w:rPr>
                <w:rFonts w:hint="eastAsia" w:ascii="宋体" w:cs="宋体"/>
              </w:rPr>
            </w:pPr>
          </w:p>
          <w:p w14:paraId="525E9C58">
            <w:pPr>
              <w:tabs>
                <w:tab w:val="left" w:pos="2604"/>
              </w:tabs>
              <w:spacing w:line="240" w:lineRule="exact"/>
              <w:ind w:left="105" w:leftChars="50" w:right="105" w:rightChars="50" w:firstLine="96" w:firstLineChars="46"/>
              <w:rPr>
                <w:rFonts w:ascii="宋体" w:cs="宋体"/>
              </w:rPr>
            </w:pPr>
          </w:p>
          <w:p w14:paraId="6945826A">
            <w:pPr>
              <w:tabs>
                <w:tab w:val="left" w:pos="2604"/>
              </w:tabs>
              <w:spacing w:line="240" w:lineRule="exact"/>
              <w:ind w:left="105" w:leftChars="50" w:right="105" w:rightChars="50" w:firstLine="96" w:firstLineChars="46"/>
              <w:rPr>
                <w:rFonts w:hint="eastAsia" w:ascii="宋体" w:cs="宋体"/>
              </w:rPr>
            </w:pPr>
            <w:r>
              <w:rPr>
                <w:rFonts w:hint="eastAsia" w:ascii="宋体" w:cs="宋体"/>
              </w:rPr>
              <w:t>95</w:t>
            </w:r>
          </w:p>
          <w:p w14:paraId="4DA4E02A">
            <w:pPr>
              <w:tabs>
                <w:tab w:val="left" w:pos="2604"/>
              </w:tabs>
              <w:spacing w:line="240" w:lineRule="exact"/>
              <w:ind w:left="105" w:leftChars="50" w:right="105" w:rightChars="50" w:firstLine="96" w:firstLineChars="46"/>
              <w:rPr>
                <w:rFonts w:hint="eastAsia" w:ascii="宋体" w:cs="宋体"/>
              </w:rPr>
            </w:pPr>
          </w:p>
          <w:p w14:paraId="59D9080F">
            <w:pPr>
              <w:tabs>
                <w:tab w:val="left" w:pos="2604"/>
              </w:tabs>
              <w:spacing w:line="240" w:lineRule="exact"/>
              <w:ind w:right="105" w:rightChars="50"/>
              <w:rPr>
                <w:rFonts w:ascii="宋体" w:cs="宋体"/>
              </w:rPr>
            </w:pPr>
          </w:p>
        </w:tc>
        <w:tc>
          <w:tcPr>
            <w:tcW w:w="1576" w:type="pct"/>
            <w:tcMar>
              <w:top w:w="10" w:type="dxa"/>
              <w:left w:w="10" w:type="dxa"/>
              <w:bottom w:w="0" w:type="dxa"/>
              <w:right w:w="10" w:type="dxa"/>
            </w:tcMar>
            <w:vAlign w:val="center"/>
          </w:tcPr>
          <w:p w14:paraId="178C0F3A">
            <w:pPr>
              <w:tabs>
                <w:tab w:val="left" w:pos="2604"/>
              </w:tabs>
              <w:spacing w:line="240" w:lineRule="exact"/>
              <w:ind w:left="105" w:leftChars="50" w:right="105" w:rightChars="50" w:firstLine="96" w:firstLineChars="46"/>
              <w:rPr>
                <w:rFonts w:ascii="宋体" w:cs="宋体"/>
              </w:rPr>
            </w:pPr>
          </w:p>
        </w:tc>
        <w:tc>
          <w:tcPr>
            <w:tcW w:w="1867" w:type="pct"/>
            <w:tcMar>
              <w:top w:w="10" w:type="dxa"/>
              <w:left w:w="10" w:type="dxa"/>
              <w:bottom w:w="0" w:type="dxa"/>
              <w:right w:w="10" w:type="dxa"/>
            </w:tcMar>
            <w:vAlign w:val="center"/>
          </w:tcPr>
          <w:p w14:paraId="6E532765">
            <w:pPr>
              <w:spacing w:line="240" w:lineRule="exact"/>
              <w:ind w:left="105" w:leftChars="50" w:right="105" w:rightChars="50"/>
              <w:rPr>
                <w:rFonts w:ascii="宋体" w:cs="宋体"/>
              </w:rPr>
            </w:pPr>
          </w:p>
        </w:tc>
      </w:tr>
    </w:tbl>
    <w:p w14:paraId="0B0B292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roman"/>
    <w:pitch w:val="default"/>
    <w:sig w:usb0="A00002BF" w:usb1="38CF7CFA" w:usb2="00000016" w:usb3="00000000" w:csb0="0004000F" w:csb1="00000000"/>
  </w:font>
  <w:font w:name="方正小标宋简体">
    <w:altName w:val="黑体"/>
    <w:panose1 w:val="00000000000000000000"/>
    <w:charset w:val="86"/>
    <w:family w:val="auto"/>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D51650"/>
    <w:multiLevelType w:val="multilevel"/>
    <w:tmpl w:val="1AD51650"/>
    <w:lvl w:ilvl="0" w:tentative="0">
      <w:start w:val="1"/>
      <w:numFmt w:val="japaneseCounting"/>
      <w:lvlText w:val="（%1）"/>
      <w:lvlJc w:val="left"/>
      <w:pPr>
        <w:ind w:left="1720" w:hanging="1080"/>
      </w:pPr>
      <w:rPr>
        <w:rFonts w:hint="default"/>
        <w:lang w:val="en-US"/>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
    <w:nsid w:val="22E74252"/>
    <w:multiLevelType w:val="multilevel"/>
    <w:tmpl w:val="22E74252"/>
    <w:lvl w:ilvl="0" w:tentative="0">
      <w:start w:val="1"/>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25926"/>
    <w:rsid w:val="000252D6"/>
    <w:rsid w:val="00101B34"/>
    <w:rsid w:val="001153E2"/>
    <w:rsid w:val="001F295C"/>
    <w:rsid w:val="002E6AAD"/>
    <w:rsid w:val="003955B4"/>
    <w:rsid w:val="003E4B40"/>
    <w:rsid w:val="00525926"/>
    <w:rsid w:val="005842E3"/>
    <w:rsid w:val="006524DF"/>
    <w:rsid w:val="006B4D35"/>
    <w:rsid w:val="006B7198"/>
    <w:rsid w:val="00716B70"/>
    <w:rsid w:val="007A7352"/>
    <w:rsid w:val="007F5B8B"/>
    <w:rsid w:val="00824770"/>
    <w:rsid w:val="00917447"/>
    <w:rsid w:val="00927E15"/>
    <w:rsid w:val="009938A3"/>
    <w:rsid w:val="009D0BA8"/>
    <w:rsid w:val="00A76DA7"/>
    <w:rsid w:val="00AD4570"/>
    <w:rsid w:val="00B64B82"/>
    <w:rsid w:val="00C31B4E"/>
    <w:rsid w:val="00C35136"/>
    <w:rsid w:val="00CB5B6B"/>
    <w:rsid w:val="00DC023A"/>
    <w:rsid w:val="00FA2D72"/>
    <w:rsid w:val="0F1E7A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snapToGrid w:val="0"/>
      <w:jc w:val="left"/>
    </w:pPr>
    <w:rPr>
      <w:sz w:val="18"/>
      <w:szCs w:val="18"/>
    </w:rPr>
  </w:style>
  <w:style w:type="paragraph" w:styleId="3">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jc w:val="left"/>
    </w:pPr>
    <w:rPr>
      <w:rFonts w:ascii="Calibri" w:hAnsi="Calibri" w:cs="Calibri"/>
      <w:kern w:val="0"/>
      <w:sz w:val="24"/>
    </w:rPr>
  </w:style>
  <w:style w:type="character" w:styleId="7">
    <w:name w:val="Strong"/>
    <w:basedOn w:val="6"/>
    <w:qFormat/>
    <w:uiPriority w:val="0"/>
    <w:rPr>
      <w:b/>
      <w:bCs/>
    </w:rPr>
  </w:style>
  <w:style w:type="paragraph" w:customStyle="1" w:styleId="8">
    <w:name w:val="列出段落2"/>
    <w:basedOn w:val="1"/>
    <w:qFormat/>
    <w:uiPriority w:val="99"/>
    <w:pPr>
      <w:ind w:firstLine="420" w:firstLineChars="200"/>
    </w:pPr>
    <w:rPr>
      <w:rFonts w:ascii="等线" w:hAnsi="等线" w:eastAsia="等线" w:cs="等线"/>
      <w:szCs w:val="21"/>
    </w:rPr>
  </w:style>
  <w:style w:type="character" w:customStyle="1" w:styleId="9">
    <w:name w:val="页脚 Char"/>
    <w:basedOn w:val="6"/>
    <w:link w:val="2"/>
    <w:semiHidden/>
    <w:qFormat/>
    <w:uiPriority w:val="99"/>
    <w:rPr>
      <w:rFonts w:ascii="Times New Roman" w:hAnsi="Times New Roman" w:eastAsia="宋体" w:cs="Times New Roman"/>
      <w:sz w:val="18"/>
      <w:szCs w:val="18"/>
    </w:rPr>
  </w:style>
  <w:style w:type="paragraph" w:styleId="10">
    <w:name w:val="List Paragraph"/>
    <w:basedOn w:val="1"/>
    <w:qFormat/>
    <w:uiPriority w:val="34"/>
    <w:pPr>
      <w:ind w:firstLine="420" w:firstLineChars="200"/>
    </w:pPr>
  </w:style>
  <w:style w:type="character" w:customStyle="1" w:styleId="11">
    <w:name w:val="页眉 Char"/>
    <w:basedOn w:val="6"/>
    <w:link w:val="3"/>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16</Pages>
  <Words>7588</Words>
  <Characters>8030</Characters>
  <Lines>85</Lines>
  <Paragraphs>24</Paragraphs>
  <TotalTime>145</TotalTime>
  <ScaleCrop>false</ScaleCrop>
  <LinksUpToDate>false</LinksUpToDate>
  <CharactersWithSpaces>8041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2023-06-07T01:44:00Z</dcterms:created>
  <dc:creator>AutoBVT</dc:creator>
  <cp:lastModifiedBy>龚晓豪</cp:lastModifiedBy>
  <dcterms:modified xsi:type="dcterms:W3CDTF">2025-10-31T08:28:15Z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eyJoZGlkIjoiZmFjNWZlYzVjZTdjMmIwODViYjA2YjAwMDE4ZWEwYTYiLCJ1c2VySWQiOiIxMTY5NTQ3NTE0In0=</vt:lpwstr>
  </property>
  <property fmtid="{D5CDD505-2E9C-101B-9397-08002B2CF9AE}" pid="3" name="KSOProductBuildVer">
    <vt:lpwstr>2052-12.1.0.23125</vt:lpwstr>
  </property>
  <property fmtid="{D5CDD505-2E9C-101B-9397-08002B2CF9AE}" pid="4" name="ICV">
    <vt:lpwstr>04D032729DF542ED8750BD2E019E840E_12</vt:lpwstr>
  </property>
</Properties>
</file>