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468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460" w:lineRule="exact"/>
        <w:ind w:left="21" w:right="10" w:hanging="9"/>
        <w:jc w:val="both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32"/>
          <w:szCs w:val="32"/>
          <w:lang w:val="en-US" w:eastAsia="en-US" w:bidi="ar-S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《国务院办公厅关于严格规范涉企行政检查的意见》（ 国办发〔2024〕54号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）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：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专项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检查要实行年度数量控制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2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，事先拟订检查计划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，经县级以上政府或者实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行垂直管理的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上一级行政机关批准后按照规定备案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，并向社会公布。</w:t>
      </w:r>
    </w:p>
    <w:p w14:paraId="3D5B439C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《市场监管总局关于全面深化“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双随机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8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、一公开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”监管规范涉企行政检查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服务高质量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发展的意见》（ 国市监信规〔2024〕5号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）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：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县级以上市场监管部门要按照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上级市场监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管部门要求统筹制定年度抽查工作计划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，并通过国家企业信用信息公示系统向社会公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示.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1DB6"/>
    <w:rsid w:val="088300CA"/>
    <w:rsid w:val="218C5D5F"/>
    <w:rsid w:val="2B7C294B"/>
    <w:rsid w:val="67121F71"/>
    <w:rsid w:val="720E5EA5"/>
    <w:rsid w:val="76E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279</Characters>
  <Lines>0</Lines>
  <Paragraphs>0</Paragraphs>
  <TotalTime>0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2025-12-11T01:17:00Z</dcterms:created>
  <dc:creator>光。</dc:creator>
  <cp:lastModifiedBy>光。</cp:lastModifiedBy>
  <dcterms:modified xsi:type="dcterms:W3CDTF">2025-12-12T08:23:30Z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BB6A6E5225D84CE1B587E175F2FD1010_11</vt:lpwstr>
  </property>
  <property fmtid="{D5CDD505-2E9C-101B-9397-08002B2CF9AE}" pid="4" name="KSOTemplateDocerSaveRecord">
    <vt:lpwstr>eyJoZGlkIjoiNDE5ZWYzNWJjMzZiOWIyNjgwZGNkMTE2NzhlNmIzOGMiLCJ1c2VySWQiOiIyODA4MjU3MDEifQ==</vt:lpwstr>
  </property>
</Properties>
</file>