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pPr>
      <w:r>
        <w:rPr>
          <w:rFonts w:hint="default" w:ascii="Times New Roman" w:hAnsi="Times New Roman" w:eastAsia="方正小标宋_GBK" w:cs="Times New Roman"/>
          <w:b w:val="0"/>
          <w:bCs w:val="0"/>
          <w:i w:val="0"/>
          <w:iCs w:val="0"/>
          <w:color w:val="000000"/>
          <w:kern w:val="0"/>
          <w:sz w:val="36"/>
          <w:szCs w:val="36"/>
          <w:u w:val="none"/>
          <w:lang w:val="en-US" w:eastAsia="zh-CN" w:bidi="ar"/>
        </w:rPr>
        <w:t>益阳市赫山区林业局 政府信息主动公开事项目录</w:t>
      </w:r>
    </w:p>
    <w:p>
      <w:pPr>
        <w:pStyle w:val="2"/>
        <w:rPr>
          <w:rFonts w:hint="default"/>
          <w:lang w:val="en-US" w:eastAsia="zh-CN"/>
        </w:rPr>
      </w:pPr>
      <w:bookmarkStart w:id="0" w:name="_GoBack"/>
      <w:bookmarkEnd w:id="0"/>
    </w:p>
    <w:tbl>
      <w:tblPr>
        <w:tblStyle w:val="3"/>
        <w:tblW w:w="5005"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173"/>
        <w:gridCol w:w="1223"/>
        <w:gridCol w:w="1890"/>
        <w:gridCol w:w="3362"/>
        <w:gridCol w:w="1097"/>
        <w:gridCol w:w="1965"/>
        <w:gridCol w:w="11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序号</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事项类别</w:t>
            </w:r>
          </w:p>
        </w:tc>
        <w:tc>
          <w:tcPr>
            <w:tcW w:w="43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事项名称</w:t>
            </w:r>
          </w:p>
        </w:tc>
        <w:tc>
          <w:tcPr>
            <w:tcW w:w="66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公开内容</w:t>
            </w:r>
          </w:p>
        </w:tc>
        <w:tc>
          <w:tcPr>
            <w:tcW w:w="118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公开依据</w:t>
            </w:r>
          </w:p>
        </w:tc>
        <w:tc>
          <w:tcPr>
            <w:tcW w:w="38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公开渠道</w:t>
            </w:r>
          </w:p>
        </w:tc>
        <w:tc>
          <w:tcPr>
            <w:tcW w:w="69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公开时限</w:t>
            </w:r>
          </w:p>
        </w:tc>
        <w:tc>
          <w:tcPr>
            <w:tcW w:w="41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公开责任</w:t>
            </w:r>
          </w:p>
        </w:tc>
        <w:tc>
          <w:tcPr>
            <w:tcW w:w="51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cs="Times New Roman"/>
                <w:sz w:val="21"/>
                <w:szCs w:val="21"/>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1</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政策文件</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行政规范性文件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行政规范性文件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r>
              <w:rPr>
                <w:rStyle w:val="6"/>
                <w:rFonts w:hint="default" w:ascii="Times New Roman" w:hAnsi="Times New Roman" w:eastAsia="方正仿宋_GBK" w:cs="Times New Roman"/>
                <w:lang w:val="en-US" w:eastAsia="zh-CN" w:bidi="ar"/>
              </w:rPr>
              <w:t>文件起草部门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lang w:val="en-US" w:eastAsia="zh-CN" w:bidi="ar"/>
              </w:rPr>
              <w:t>文件起草部门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林业领域规划计划</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涉及林业业务职能的中长期计划、年度工作计划信息、计划执行情况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林业领域政务服务事项信息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林业领域办理行政许可和其他对外管理服务事项目录，行使事项的依据、条件、程序以及办理结果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除办理结果由相关部门负责外，其余内容由政策法规部门负责</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林业领域行政处罚信息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林业领域实施行政处罚的依据、条件、程序以及本行政机关认为具有一定社会影响的行政处罚决定</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除处罚决定由相关部门负责外，其余内容由政策法规部门负责</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1"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林业基金部门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林业基金部门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林业领域重大建设项目的批准和实施情况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林业领域重大建设项目名称、审批、核准、备案和批准结果信息，实施过程、结果和社会效果等信息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建议提案办理部门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政策法规部门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生态保护补偿工作情况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《生态保护补偿条例》（国务院令第779号）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自然保护地公示</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《中华人民共和国自然保护区条例》（国务院令第167号）；《风景名胜区条例》（国务院令474号）第十条；《湖南省森林公园条例》第十一条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自然保护地管理部门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森林防火</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森林防火期，森林防火区和森林高火险区的范围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《湖南省森林防火若干规定》</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森林草原防火部门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森林病虫害防治</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森林病虫害预报</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《中华人民共和国森林法实施条例》（国务院令第278号）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有害生物防治检疫部门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古树名木认定情况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《古树名木保护条例》（国务院令第800号）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绿化委员会办公室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种业管理</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种子违法行为投诉举报联系方式</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《湖南省实施&lt;中华人民共和国种子法&gt;办法》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种苗管理部门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湿地保护</w:t>
            </w:r>
          </w:p>
        </w:tc>
        <w:tc>
          <w:tcPr>
            <w:tcW w:w="6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一般湿地名录及范围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《中华人民共和国湿地保护法》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湿地保护部门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涉及林业系统牵头的“高效办成一件事”办理标准化工作规程和办事指南</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森林资源管理部门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413"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政府网站管理机构</w:t>
            </w:r>
          </w:p>
        </w:tc>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p>
        </w:tc>
      </w:tr>
    </w:tbl>
    <w:p>
      <w:pPr>
        <w:pStyle w:val="2"/>
        <w:keepNext w:val="0"/>
        <w:keepLines w:val="0"/>
        <w:pageBreakBefore w:val="0"/>
        <w:widowControl/>
        <w:kinsoku/>
        <w:wordWrap/>
        <w:overflowPunct/>
        <w:topLinePunct w:val="0"/>
        <w:autoSpaceDE/>
        <w:autoSpaceDN/>
        <w:bidi w:val="0"/>
        <w:adjustRightInd/>
        <w:snapToGrid/>
        <w:spacing w:before="0" w:line="375" w:lineRule="auto"/>
        <w:jc w:val="both"/>
        <w:textAlignment w:val="baseline"/>
        <w:rPr>
          <w:rFonts w:hint="default" w:ascii="Times New Roman" w:hAnsi="Times New Roman" w:eastAsia="方正小标宋_GBK" w:cs="Times New Roman"/>
          <w:b w:val="0"/>
          <w:bCs w:val="0"/>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6E9F0"/>
    <w:rsid w:val="4FC6E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51"/>
    <w:basedOn w:val="4"/>
    <w:qFormat/>
    <w:uiPriority w:val="0"/>
    <w:rPr>
      <w:rFonts w:hint="eastAsia" w:ascii="黑体" w:hAnsi="宋体" w:eastAsia="黑体" w:cs="黑体"/>
      <w:color w:val="000000"/>
      <w:sz w:val="32"/>
      <w:szCs w:val="32"/>
      <w:u w:val="non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2025-12-23T09:19:00Z</dcterms:created>
  <dc:creator>huawei</dc:creator>
  <cp:lastModifiedBy>huawei</cp:lastModifiedBy>
  <dcterms:modified xsi:type="dcterms:W3CDTF">2025-12-23T09:20:57Z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