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宋体" w:eastAsia="方正小标宋简体"/>
          <w:color w:val="000000"/>
          <w:sz w:val="42"/>
          <w:szCs w:val="44"/>
        </w:rPr>
      </w:pPr>
      <w:r>
        <w:rPr>
          <w:rFonts w:hint="eastAsia" w:ascii="方正小标宋简体" w:hAnsi="宋体" w:eastAsia="方正小标宋简体"/>
          <w:color w:val="000000"/>
          <w:sz w:val="42"/>
          <w:szCs w:val="44"/>
        </w:rPr>
        <w:t>赫山区“十三五”新型城镇化发展规划</w:t>
      </w:r>
    </w:p>
    <w:p>
      <w:pPr>
        <w:spacing w:line="540" w:lineRule="exact"/>
        <w:jc w:val="center"/>
        <w:rPr>
          <w:rFonts w:hint="eastAsia" w:eastAsia="方正小标宋简体"/>
          <w:sz w:val="28"/>
          <w:szCs w:val="28"/>
        </w:rPr>
      </w:pPr>
    </w:p>
    <w:p>
      <w:pPr>
        <w:tabs>
          <w:tab w:val="left" w:pos="3416"/>
        </w:tabs>
        <w:spacing w:after="156" w:afterLines="50" w:line="530" w:lineRule="exact"/>
        <w:ind w:right="25" w:rightChars="12" w:firstLine="560" w:firstLineChars="200"/>
        <w:rPr>
          <w:rFonts w:hint="eastAsia" w:ascii="黑体" w:hAnsi="仿宋" w:eastAsia="黑体"/>
          <w:sz w:val="28"/>
          <w:szCs w:val="28"/>
        </w:rPr>
      </w:pPr>
      <w:r>
        <w:rPr>
          <w:rFonts w:hint="eastAsia" w:ascii="黑体" w:hAnsi="仿宋" w:eastAsia="黑体"/>
          <w:sz w:val="28"/>
          <w:szCs w:val="28"/>
        </w:rPr>
        <w:t>一、“十二五”期间赫山区城镇化发展现状</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（一）</w:t>
      </w:r>
      <w:r>
        <w:rPr>
          <w:rFonts w:ascii="宋体" w:hAnsi="宋体"/>
          <w:sz w:val="28"/>
          <w:szCs w:val="28"/>
        </w:rPr>
        <w:t>20</w:t>
      </w:r>
      <w:r>
        <w:rPr>
          <w:rFonts w:hint="eastAsia" w:ascii="宋体" w:hAnsi="宋体"/>
          <w:sz w:val="28"/>
          <w:szCs w:val="28"/>
        </w:rPr>
        <w:t>11年</w:t>
      </w:r>
      <w:r>
        <w:rPr>
          <w:rFonts w:ascii="宋体" w:hAnsi="宋体"/>
          <w:sz w:val="28"/>
          <w:szCs w:val="28"/>
        </w:rPr>
        <w:t>-201</w:t>
      </w:r>
      <w:r>
        <w:rPr>
          <w:rFonts w:hint="eastAsia" w:ascii="宋体" w:hAnsi="宋体"/>
          <w:sz w:val="28"/>
          <w:szCs w:val="28"/>
        </w:rPr>
        <w:t>5年，城镇化率由</w:t>
      </w:r>
      <w:r>
        <w:rPr>
          <w:rFonts w:ascii="宋体" w:hAnsi="宋体"/>
          <w:sz w:val="28"/>
          <w:szCs w:val="28"/>
        </w:rPr>
        <w:t>5</w:t>
      </w:r>
      <w:r>
        <w:rPr>
          <w:rFonts w:hint="eastAsia" w:ascii="宋体" w:hAnsi="宋体"/>
          <w:sz w:val="28"/>
          <w:szCs w:val="28"/>
        </w:rPr>
        <w:t>9</w:t>
      </w:r>
      <w:r>
        <w:rPr>
          <w:rFonts w:ascii="宋体" w:hAnsi="宋体"/>
          <w:sz w:val="28"/>
          <w:szCs w:val="28"/>
        </w:rPr>
        <w:t>.</w:t>
      </w:r>
      <w:r>
        <w:rPr>
          <w:rFonts w:hint="eastAsia" w:ascii="宋体" w:hAnsi="宋体"/>
          <w:sz w:val="28"/>
          <w:szCs w:val="28"/>
        </w:rPr>
        <w:t>6</w:t>
      </w:r>
      <w:r>
        <w:rPr>
          <w:rFonts w:ascii="宋体" w:hAnsi="宋体"/>
          <w:sz w:val="28"/>
          <w:szCs w:val="28"/>
        </w:rPr>
        <w:t>%</w:t>
      </w:r>
      <w:r>
        <w:rPr>
          <w:rFonts w:hint="eastAsia" w:ascii="宋体" w:hAnsi="宋体"/>
          <w:sz w:val="28"/>
          <w:szCs w:val="28"/>
        </w:rPr>
        <w:t>增长到</w:t>
      </w:r>
      <w:r>
        <w:rPr>
          <w:rFonts w:ascii="宋体" w:hAnsi="宋体"/>
          <w:sz w:val="28"/>
          <w:szCs w:val="28"/>
        </w:rPr>
        <w:t>6</w:t>
      </w:r>
      <w:r>
        <w:rPr>
          <w:rFonts w:hint="eastAsia" w:ascii="宋体" w:hAnsi="宋体"/>
          <w:sz w:val="28"/>
          <w:szCs w:val="28"/>
        </w:rPr>
        <w:t>5</w:t>
      </w:r>
      <w:r>
        <w:rPr>
          <w:rFonts w:ascii="宋体" w:hAnsi="宋体"/>
          <w:sz w:val="28"/>
          <w:szCs w:val="28"/>
        </w:rPr>
        <w:t>.</w:t>
      </w:r>
      <w:r>
        <w:rPr>
          <w:rFonts w:hint="eastAsia" w:ascii="宋体" w:hAnsi="宋体"/>
          <w:sz w:val="28"/>
          <w:szCs w:val="28"/>
        </w:rPr>
        <w:t>9</w:t>
      </w:r>
      <w:r>
        <w:rPr>
          <w:rFonts w:ascii="宋体" w:hAnsi="宋体"/>
          <w:sz w:val="28"/>
          <w:szCs w:val="28"/>
        </w:rPr>
        <w:t>%</w:t>
      </w:r>
      <w:r>
        <w:rPr>
          <w:rFonts w:hint="eastAsia" w:ascii="宋体" w:hAnsi="宋体"/>
          <w:sz w:val="28"/>
          <w:szCs w:val="28"/>
        </w:rPr>
        <w:t>。年均增长1.26个百分点，较湖南省的平均增长速度快约0.26个百分点。</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（二）赫山区拥有</w:t>
      </w:r>
      <w:r>
        <w:rPr>
          <w:rFonts w:ascii="宋体" w:hAnsi="宋体"/>
          <w:sz w:val="28"/>
          <w:szCs w:val="28"/>
        </w:rPr>
        <w:t>1</w:t>
      </w:r>
      <w:r>
        <w:rPr>
          <w:rFonts w:hint="eastAsia" w:ascii="宋体" w:hAnsi="宋体"/>
          <w:sz w:val="28"/>
          <w:szCs w:val="28"/>
        </w:rPr>
        <w:t>个中心城区，</w:t>
      </w:r>
      <w:r>
        <w:rPr>
          <w:rFonts w:ascii="宋体" w:hAnsi="宋体"/>
          <w:sz w:val="28"/>
          <w:szCs w:val="28"/>
        </w:rPr>
        <w:t>10</w:t>
      </w:r>
      <w:r>
        <w:rPr>
          <w:rFonts w:hint="eastAsia" w:ascii="宋体" w:hAnsi="宋体"/>
          <w:sz w:val="28"/>
          <w:szCs w:val="28"/>
        </w:rPr>
        <w:t>个镇，</w:t>
      </w:r>
      <w:r>
        <w:rPr>
          <w:rFonts w:ascii="宋体" w:hAnsi="宋体"/>
          <w:sz w:val="28"/>
          <w:szCs w:val="28"/>
        </w:rPr>
        <w:t>2</w:t>
      </w:r>
      <w:r>
        <w:rPr>
          <w:rFonts w:hint="eastAsia" w:ascii="宋体" w:hAnsi="宋体"/>
          <w:sz w:val="28"/>
          <w:szCs w:val="28"/>
        </w:rPr>
        <w:t>个乡，</w:t>
      </w:r>
      <w:r>
        <w:rPr>
          <w:rFonts w:ascii="宋体" w:hAnsi="宋体"/>
          <w:sz w:val="28"/>
          <w:szCs w:val="28"/>
        </w:rPr>
        <w:t>1</w:t>
      </w:r>
      <w:r>
        <w:rPr>
          <w:rFonts w:hint="eastAsia" w:ascii="宋体" w:hAnsi="宋体"/>
          <w:sz w:val="28"/>
          <w:szCs w:val="28"/>
        </w:rPr>
        <w:t>个工业园管委会，城镇结构体系层次逐步体现，依托“两河两路四片区”战略带动了区域发展。</w:t>
      </w:r>
    </w:p>
    <w:p>
      <w:pPr>
        <w:spacing w:line="530" w:lineRule="exact"/>
        <w:ind w:firstLine="560" w:firstLineChars="200"/>
        <w:rPr>
          <w:rFonts w:ascii="宋体" w:hAnsi="宋体"/>
          <w:sz w:val="28"/>
          <w:szCs w:val="28"/>
        </w:rPr>
      </w:pPr>
      <w:r>
        <w:rPr>
          <w:rFonts w:hint="eastAsia" w:ascii="宋体" w:hAnsi="宋体"/>
          <w:sz w:val="28"/>
          <w:szCs w:val="28"/>
        </w:rPr>
        <w:t>（三）产业发展步伐加快，与城镇化发展互为支撑，一园多区格局呈现。工业化进程不断推进，龙岭工业园区、粮食产业园及衡龙新区积极推动企业搬迁入园，推动产业集聚发展，利用区位优势、交通条件和齐全的基础设施，积极承接产业转移。第二产业产值由</w:t>
      </w:r>
      <w:r>
        <w:rPr>
          <w:rFonts w:ascii="宋体" w:hAnsi="宋体"/>
          <w:sz w:val="28"/>
          <w:szCs w:val="28"/>
        </w:rPr>
        <w:t>47.7</w:t>
      </w:r>
      <w:r>
        <w:rPr>
          <w:rFonts w:hint="eastAsia" w:ascii="宋体" w:hAnsi="宋体"/>
          <w:sz w:val="28"/>
          <w:szCs w:val="28"/>
        </w:rPr>
        <w:t>亿元增至</w:t>
      </w:r>
      <w:r>
        <w:rPr>
          <w:rFonts w:ascii="宋体" w:hAnsi="宋体"/>
          <w:sz w:val="28"/>
          <w:szCs w:val="28"/>
        </w:rPr>
        <w:t>127</w:t>
      </w:r>
      <w:r>
        <w:rPr>
          <w:rFonts w:hint="eastAsia" w:ascii="宋体" w:hAnsi="宋体"/>
          <w:sz w:val="28"/>
          <w:szCs w:val="28"/>
        </w:rPr>
        <w:t>亿元，年均增加</w:t>
      </w:r>
      <w:r>
        <w:rPr>
          <w:rFonts w:ascii="宋体" w:hAnsi="宋体"/>
          <w:sz w:val="28"/>
          <w:szCs w:val="28"/>
        </w:rPr>
        <w:t>21.63%</w:t>
      </w:r>
      <w:r>
        <w:rPr>
          <w:rFonts w:hint="eastAsia" w:ascii="宋体" w:hAnsi="宋体"/>
          <w:sz w:val="28"/>
          <w:szCs w:val="28"/>
        </w:rPr>
        <w:t>，第三产业快速发展，第三产业产值由</w:t>
      </w:r>
      <w:r>
        <w:rPr>
          <w:rFonts w:ascii="宋体" w:hAnsi="宋体"/>
          <w:sz w:val="28"/>
          <w:szCs w:val="28"/>
        </w:rPr>
        <w:t>47.9</w:t>
      </w:r>
      <w:r>
        <w:rPr>
          <w:rFonts w:hint="eastAsia" w:ascii="宋体" w:hAnsi="宋体"/>
          <w:sz w:val="28"/>
          <w:szCs w:val="28"/>
        </w:rPr>
        <w:t>亿元增至</w:t>
      </w:r>
      <w:r>
        <w:rPr>
          <w:rFonts w:ascii="宋体" w:hAnsi="宋体"/>
          <w:sz w:val="28"/>
          <w:szCs w:val="28"/>
        </w:rPr>
        <w:t>94</w:t>
      </w:r>
      <w:r>
        <w:rPr>
          <w:rFonts w:hint="eastAsia" w:ascii="宋体" w:hAnsi="宋体"/>
          <w:sz w:val="28"/>
          <w:szCs w:val="28"/>
        </w:rPr>
        <w:t>亿元，年均增加</w:t>
      </w:r>
      <w:r>
        <w:rPr>
          <w:rFonts w:ascii="宋体" w:hAnsi="宋体"/>
          <w:sz w:val="28"/>
          <w:szCs w:val="28"/>
        </w:rPr>
        <w:t>14.43%</w:t>
      </w:r>
      <w:r>
        <w:rPr>
          <w:rFonts w:hint="eastAsia" w:ascii="宋体" w:hAnsi="宋体"/>
          <w:sz w:val="28"/>
          <w:szCs w:val="28"/>
        </w:rPr>
        <w:t>。</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（四）生态文明建设方面，全区森林覆盖率已达</w:t>
      </w:r>
      <w:r>
        <w:rPr>
          <w:rFonts w:ascii="宋体" w:hAnsi="宋体"/>
          <w:sz w:val="28"/>
          <w:szCs w:val="28"/>
        </w:rPr>
        <w:t>3</w:t>
      </w:r>
      <w:r>
        <w:rPr>
          <w:rFonts w:hint="eastAsia" w:ascii="宋体" w:hAnsi="宋体"/>
          <w:sz w:val="28"/>
          <w:szCs w:val="28"/>
        </w:rPr>
        <w:t>2</w:t>
      </w:r>
      <w:r>
        <w:rPr>
          <w:rFonts w:ascii="宋体" w:hAnsi="宋体"/>
          <w:sz w:val="28"/>
          <w:szCs w:val="28"/>
        </w:rPr>
        <w:t>.</w:t>
      </w:r>
      <w:r>
        <w:rPr>
          <w:rFonts w:hint="eastAsia" w:ascii="宋体" w:hAnsi="宋体"/>
          <w:sz w:val="28"/>
          <w:szCs w:val="28"/>
        </w:rPr>
        <w:t>9</w:t>
      </w:r>
      <w:r>
        <w:rPr>
          <w:rFonts w:ascii="宋体" w:hAnsi="宋体"/>
          <w:sz w:val="28"/>
          <w:szCs w:val="28"/>
        </w:rPr>
        <w:t>%</w:t>
      </w:r>
      <w:r>
        <w:rPr>
          <w:rFonts w:hint="eastAsia" w:ascii="宋体" w:hAnsi="宋体"/>
          <w:sz w:val="28"/>
          <w:szCs w:val="28"/>
        </w:rPr>
        <w:t>，大力发展推进国家森林城市的创建；泉交河镇竹泉山村通过省级美丽乡村验收，八字哨、泥江口获评全市美丽乡村建设“十佳乡镇”。</w:t>
      </w:r>
    </w:p>
    <w:p>
      <w:pPr>
        <w:tabs>
          <w:tab w:val="left" w:pos="3416"/>
        </w:tabs>
        <w:spacing w:line="530" w:lineRule="exact"/>
        <w:ind w:right="25" w:rightChars="12" w:firstLine="560" w:firstLineChars="200"/>
        <w:rPr>
          <w:rFonts w:hint="eastAsia" w:ascii="宋体" w:hAnsi="宋体"/>
          <w:sz w:val="28"/>
          <w:szCs w:val="28"/>
        </w:rPr>
      </w:pPr>
      <w:bookmarkStart w:id="0" w:name="_Toc431284469"/>
      <w:bookmarkStart w:id="1" w:name="_Toc433516555"/>
      <w:r>
        <w:rPr>
          <w:rFonts w:hint="eastAsia" w:ascii="宋体" w:hAnsi="宋体"/>
          <w:sz w:val="28"/>
          <w:szCs w:val="28"/>
        </w:rPr>
        <w:t>（五）基础设施</w:t>
      </w:r>
      <w:bookmarkEnd w:id="0"/>
      <w:bookmarkEnd w:id="1"/>
      <w:r>
        <w:rPr>
          <w:rFonts w:hint="eastAsia" w:ascii="宋体" w:hAnsi="宋体"/>
          <w:sz w:val="28"/>
          <w:szCs w:val="28"/>
        </w:rPr>
        <w:t>方面，初步建立了城乡协调的综合交通网络，基本</w:t>
      </w:r>
      <w:r>
        <w:rPr>
          <w:rFonts w:ascii="宋体" w:hAnsi="宋体"/>
          <w:sz w:val="28"/>
          <w:szCs w:val="28"/>
        </w:rPr>
        <w:t>实现区域内乡村公路</w:t>
      </w:r>
      <w:r>
        <w:rPr>
          <w:rFonts w:hint="eastAsia" w:ascii="宋体" w:hAnsi="宋体"/>
          <w:sz w:val="28"/>
          <w:szCs w:val="28"/>
        </w:rPr>
        <w:t>水泥硬化</w:t>
      </w:r>
      <w:r>
        <w:rPr>
          <w:rFonts w:ascii="宋体" w:hAnsi="宋体"/>
          <w:sz w:val="28"/>
          <w:szCs w:val="28"/>
        </w:rPr>
        <w:t>全覆盖</w:t>
      </w:r>
      <w:r>
        <w:rPr>
          <w:rFonts w:hint="eastAsia" w:ascii="宋体" w:hAnsi="宋体"/>
          <w:sz w:val="28"/>
          <w:szCs w:val="28"/>
        </w:rPr>
        <w:t>。完成319国道、银城大道、省道308的改造建设，同时宁朱线、绕城高速、石长铁路复线路基基本完成，益娄、益马高速全面动工，益阳大道西延线正式启动。文教卫设施全面覆盖。</w:t>
      </w:r>
    </w:p>
    <w:p>
      <w:pPr>
        <w:tabs>
          <w:tab w:val="left" w:pos="3416"/>
        </w:tabs>
        <w:spacing w:line="530" w:lineRule="exact"/>
        <w:ind w:right="25" w:rightChars="12" w:firstLine="560" w:firstLineChars="200"/>
        <w:rPr>
          <w:rFonts w:hint="eastAsia" w:ascii="宋体" w:hAnsi="宋体"/>
          <w:sz w:val="28"/>
          <w:szCs w:val="28"/>
        </w:rPr>
      </w:pPr>
      <w:bookmarkStart w:id="2" w:name="_Toc433516558"/>
      <w:bookmarkStart w:id="3" w:name="_Toc431284473"/>
      <w:r>
        <w:rPr>
          <w:rFonts w:hint="eastAsia" w:ascii="宋体" w:hAnsi="宋体"/>
          <w:sz w:val="28"/>
          <w:szCs w:val="28"/>
        </w:rPr>
        <w:t>（六）存在的问题</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城镇化发展不平衡，集约水平有待提高</w:t>
      </w:r>
      <w:bookmarkEnd w:id="2"/>
      <w:bookmarkEnd w:id="3"/>
      <w:r>
        <w:rPr>
          <w:rFonts w:hint="eastAsia" w:ascii="宋体" w:hAnsi="宋体"/>
          <w:sz w:val="28"/>
          <w:szCs w:val="28"/>
        </w:rPr>
        <w:t>，赫山区常住人口城镇化率为</w:t>
      </w:r>
      <w:r>
        <w:rPr>
          <w:rFonts w:ascii="宋体" w:hAnsi="宋体"/>
          <w:sz w:val="28"/>
          <w:szCs w:val="28"/>
        </w:rPr>
        <w:t>6</w:t>
      </w:r>
      <w:r>
        <w:rPr>
          <w:rFonts w:hint="eastAsia" w:ascii="宋体" w:hAnsi="宋体"/>
          <w:sz w:val="28"/>
          <w:szCs w:val="28"/>
        </w:rPr>
        <w:t>5</w:t>
      </w:r>
      <w:r>
        <w:rPr>
          <w:rFonts w:ascii="宋体" w:hAnsi="宋体"/>
          <w:sz w:val="28"/>
          <w:szCs w:val="28"/>
        </w:rPr>
        <w:t>.</w:t>
      </w:r>
      <w:r>
        <w:rPr>
          <w:rFonts w:hint="eastAsia" w:ascii="宋体" w:hAnsi="宋体"/>
          <w:sz w:val="28"/>
          <w:szCs w:val="28"/>
        </w:rPr>
        <w:t>1</w:t>
      </w:r>
      <w:r>
        <w:rPr>
          <w:rFonts w:ascii="宋体" w:hAnsi="宋体"/>
          <w:sz w:val="28"/>
          <w:szCs w:val="28"/>
        </w:rPr>
        <w:t>%</w:t>
      </w:r>
      <w:r>
        <w:rPr>
          <w:rFonts w:hint="eastAsia" w:ascii="宋体" w:hAnsi="宋体"/>
          <w:sz w:val="28"/>
          <w:szCs w:val="28"/>
        </w:rPr>
        <w:t>，属发达地区水平；户籍人口城镇化率仅为30%左右，属较低水平。城乡差距较大，城乡公共服务及社会保障服务设施不均等。</w:t>
      </w:r>
    </w:p>
    <w:p>
      <w:pPr>
        <w:tabs>
          <w:tab w:val="left" w:pos="3416"/>
        </w:tabs>
        <w:spacing w:before="156" w:beforeLines="50" w:after="156" w:afterLines="50" w:line="530" w:lineRule="exact"/>
        <w:ind w:right="25" w:rightChars="12" w:firstLine="560" w:firstLineChars="200"/>
        <w:rPr>
          <w:rFonts w:hint="eastAsia" w:ascii="黑体" w:hAnsi="仿宋" w:eastAsia="黑体"/>
          <w:sz w:val="28"/>
          <w:szCs w:val="28"/>
        </w:rPr>
      </w:pPr>
      <w:r>
        <w:rPr>
          <w:rFonts w:hint="eastAsia" w:ascii="黑体" w:hAnsi="仿宋" w:eastAsia="黑体"/>
          <w:sz w:val="28"/>
          <w:szCs w:val="28"/>
        </w:rPr>
        <w:t>二、赫山区新型城镇化发展的区域优势</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（一）赫山区是长株潭3+5城市群国家两型示范区五区十八片中益阳东部新区所在。</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（二）环洞庭湖生态经济区中心城市之一。</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（三）长江中游城市群发展规划中的区域城市，湖南省对接“一带一部”发展战略（东部沿海地区和中西部地区过渡带、长江开放经济带和沿海开放经济带结合部）的前沿城市。</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（四）益阳市对接国家级湘江新区的桥头堡。</w:t>
      </w:r>
    </w:p>
    <w:p>
      <w:pPr>
        <w:tabs>
          <w:tab w:val="left" w:pos="3416"/>
        </w:tabs>
        <w:spacing w:before="156" w:beforeLines="50" w:after="156" w:afterLines="50" w:line="530" w:lineRule="exact"/>
        <w:ind w:right="25" w:rightChars="12" w:firstLine="560" w:firstLineChars="200"/>
        <w:rPr>
          <w:rFonts w:hint="eastAsia" w:ascii="黑体" w:hAnsi="仿宋" w:eastAsia="黑体"/>
          <w:sz w:val="28"/>
          <w:szCs w:val="28"/>
        </w:rPr>
      </w:pPr>
      <w:r>
        <w:rPr>
          <w:rFonts w:hint="eastAsia" w:ascii="黑体" w:hAnsi="仿宋" w:eastAsia="黑体"/>
          <w:sz w:val="28"/>
          <w:szCs w:val="28"/>
        </w:rPr>
        <w:t>三、指导思想</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坚持发展是第一要务，以提高发展质量和效益为中心，保持战略定力，坚持稳中求进。抢抓长江经济带、洞庭湖生态经济区和“一带一部”机遇，牢固树立并切实贯彻创新、协调、绿色、开放、共享的发展新理念，主动适应新常态。赫山区在十三五期间将立足特色发展、融合发展策略，以提前全面建成小康社会为总揽，以协同推进五化（新型工业化、信息化、城镇化、农业现代化和绿色化）为基本途径，依托园区平台，打造产业集群，构建“一体两翼，东进北接”发展格局；以创新为动力，着力激发政府与市场活力，努力促进“三量齐升（经济总量、发展质量、人均均量</w:t>
      </w:r>
      <w:r>
        <w:rPr>
          <w:rFonts w:ascii="宋体" w:hAnsi="宋体"/>
          <w:sz w:val="28"/>
          <w:szCs w:val="28"/>
        </w:rPr>
        <w:t>）</w:t>
      </w:r>
      <w:r>
        <w:rPr>
          <w:rFonts w:hint="eastAsia" w:ascii="宋体" w:hAnsi="宋体"/>
          <w:sz w:val="28"/>
          <w:szCs w:val="28"/>
        </w:rPr>
        <w:t>”，将赫山打造成湖南省新型城镇化示范区县、区域性特色工业基地、洞庭湖区重要粮食加工流通基地、环长株潭生态休闲旅游胜地和生态宜居型现代服务业新城。</w:t>
      </w:r>
    </w:p>
    <w:p>
      <w:pPr>
        <w:tabs>
          <w:tab w:val="left" w:pos="3416"/>
        </w:tabs>
        <w:spacing w:after="156" w:afterLines="50" w:line="524" w:lineRule="exact"/>
        <w:ind w:right="25" w:rightChars="12" w:firstLine="560" w:firstLineChars="200"/>
        <w:rPr>
          <w:rFonts w:hint="eastAsia" w:ascii="黑体" w:hAnsi="仿宋" w:eastAsia="黑体"/>
          <w:sz w:val="28"/>
          <w:szCs w:val="28"/>
        </w:rPr>
      </w:pPr>
      <w:r>
        <w:rPr>
          <w:rFonts w:hint="eastAsia" w:ascii="黑体" w:hAnsi="仿宋" w:eastAsia="黑体"/>
          <w:sz w:val="28"/>
          <w:szCs w:val="28"/>
        </w:rPr>
        <w:t>四、发展战略</w:t>
      </w:r>
    </w:p>
    <w:p>
      <w:pPr>
        <w:tabs>
          <w:tab w:val="left" w:pos="3416"/>
        </w:tabs>
        <w:spacing w:line="524" w:lineRule="exact"/>
        <w:ind w:right="25" w:rightChars="12" w:firstLine="560" w:firstLineChars="200"/>
        <w:rPr>
          <w:rFonts w:hint="eastAsia" w:ascii="宋体" w:hAnsi="宋体"/>
          <w:sz w:val="28"/>
          <w:szCs w:val="28"/>
        </w:rPr>
      </w:pPr>
      <w:r>
        <w:rPr>
          <w:rFonts w:hint="eastAsia" w:ascii="宋体" w:hAnsi="宋体"/>
          <w:sz w:val="28"/>
          <w:szCs w:val="28"/>
        </w:rPr>
        <w:t>在新型城镇化发展过程中，主要通过现代产业转型、新型城镇建设、空间布局优化、城乡统筹协调、生态文明建设等五个方面的战略，来保证赫山区新型城镇化的顺利进行。</w:t>
      </w:r>
    </w:p>
    <w:p>
      <w:pPr>
        <w:tabs>
          <w:tab w:val="left" w:pos="3416"/>
        </w:tabs>
        <w:spacing w:before="156" w:beforeLines="50" w:after="156" w:afterLines="50" w:line="524" w:lineRule="exact"/>
        <w:ind w:right="25" w:rightChars="12" w:firstLine="560" w:firstLineChars="200"/>
        <w:rPr>
          <w:rFonts w:hint="eastAsia" w:ascii="黑体" w:hAnsi="仿宋" w:eastAsia="黑体"/>
          <w:sz w:val="28"/>
          <w:szCs w:val="28"/>
        </w:rPr>
      </w:pPr>
      <w:r>
        <w:rPr>
          <w:rFonts w:hint="eastAsia" w:ascii="黑体" w:hAnsi="仿宋" w:eastAsia="黑体"/>
          <w:sz w:val="28"/>
          <w:szCs w:val="28"/>
        </w:rPr>
        <w:t>五、发展目标</w:t>
      </w:r>
    </w:p>
    <w:p>
      <w:pPr>
        <w:tabs>
          <w:tab w:val="left" w:pos="3416"/>
        </w:tabs>
        <w:spacing w:after="156" w:afterLines="50" w:line="524" w:lineRule="exact"/>
        <w:ind w:right="25" w:rightChars="12" w:firstLine="560" w:firstLineChars="200"/>
        <w:rPr>
          <w:rFonts w:hint="eastAsia" w:ascii="宋体" w:hAnsi="宋体"/>
          <w:sz w:val="28"/>
          <w:szCs w:val="28"/>
        </w:rPr>
      </w:pPr>
      <w:r>
        <w:rPr>
          <w:rFonts w:hint="eastAsia" w:ascii="宋体" w:hAnsi="宋体"/>
          <w:sz w:val="28"/>
          <w:szCs w:val="28"/>
        </w:rPr>
        <w:t>赫山区新型城镇化目标主要从城镇化水平、基本公共服务、基础设施、资源环境等四个方面来考虑，罗列了这四个方面23项主要指标，包括城镇化水平、教育、医疗、养老、环保、污水、垃圾、能耗等方面，并与湖南省的规划控制指标有一个对比。</w:t>
      </w:r>
    </w:p>
    <w:tbl>
      <w:tblPr>
        <w:tblStyle w:val="3"/>
        <w:tblW w:w="86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54"/>
        <w:gridCol w:w="1174"/>
        <w:gridCol w:w="14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6054" w:type="dxa"/>
            <w:vMerge w:val="restart"/>
            <w:tcMar>
              <w:left w:w="57" w:type="dxa"/>
              <w:right w:w="57" w:type="dxa"/>
            </w:tcMar>
            <w:vAlign w:val="center"/>
          </w:tcPr>
          <w:p>
            <w:pPr>
              <w:ind w:firstLine="420" w:firstLineChars="200"/>
              <w:jc w:val="center"/>
              <w:rPr>
                <w:rFonts w:hint="eastAsia" w:ascii="宋体" w:hAnsi="宋体"/>
                <w:bCs/>
                <w:szCs w:val="21"/>
              </w:rPr>
            </w:pPr>
            <w:r>
              <w:rPr>
                <w:rFonts w:hint="eastAsia" w:ascii="宋体" w:hAnsi="宋体"/>
                <w:bCs/>
                <w:szCs w:val="21"/>
              </w:rPr>
              <w:t>指     　标</w:t>
            </w:r>
          </w:p>
        </w:tc>
        <w:tc>
          <w:tcPr>
            <w:tcW w:w="2579" w:type="dxa"/>
            <w:gridSpan w:val="2"/>
            <w:vAlign w:val="center"/>
          </w:tcPr>
          <w:p>
            <w:pPr>
              <w:jc w:val="center"/>
              <w:rPr>
                <w:rFonts w:hint="eastAsia" w:ascii="宋体" w:hAnsi="宋体"/>
                <w:bCs/>
                <w:szCs w:val="21"/>
              </w:rPr>
            </w:pPr>
            <w:r>
              <w:rPr>
                <w:rFonts w:hint="eastAsia" w:ascii="宋体" w:hAnsi="宋体"/>
                <w:bCs/>
                <w:szCs w:val="21"/>
              </w:rPr>
              <w:t>2020年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6054" w:type="dxa"/>
            <w:vMerge w:val="continue"/>
            <w:tcMar>
              <w:left w:w="57" w:type="dxa"/>
              <w:right w:w="57" w:type="dxa"/>
            </w:tcMar>
            <w:vAlign w:val="center"/>
          </w:tcPr>
          <w:p>
            <w:pPr>
              <w:ind w:firstLine="420" w:firstLineChars="200"/>
              <w:jc w:val="center"/>
              <w:rPr>
                <w:rFonts w:hint="eastAsia" w:ascii="宋体" w:hAnsi="宋体"/>
                <w:bCs/>
                <w:szCs w:val="21"/>
              </w:rPr>
            </w:pPr>
          </w:p>
        </w:tc>
        <w:tc>
          <w:tcPr>
            <w:tcW w:w="1174" w:type="dxa"/>
            <w:vAlign w:val="center"/>
          </w:tcPr>
          <w:p>
            <w:pPr>
              <w:jc w:val="center"/>
              <w:rPr>
                <w:rFonts w:hint="eastAsia" w:ascii="宋体" w:hAnsi="宋体"/>
                <w:bCs/>
                <w:szCs w:val="21"/>
              </w:rPr>
            </w:pPr>
            <w:r>
              <w:rPr>
                <w:rFonts w:hint="eastAsia" w:ascii="宋体" w:hAnsi="宋体"/>
                <w:bCs/>
                <w:szCs w:val="21"/>
              </w:rPr>
              <w:t>赫山区</w:t>
            </w:r>
          </w:p>
        </w:tc>
        <w:tc>
          <w:tcPr>
            <w:tcW w:w="1405" w:type="dxa"/>
            <w:vAlign w:val="top"/>
          </w:tcPr>
          <w:p>
            <w:pPr>
              <w:jc w:val="center"/>
              <w:rPr>
                <w:rFonts w:hint="eastAsia" w:ascii="宋体" w:hAnsi="宋体"/>
                <w:bCs/>
                <w:szCs w:val="21"/>
              </w:rPr>
            </w:pPr>
            <w:r>
              <w:rPr>
                <w:rFonts w:hint="eastAsia" w:ascii="宋体" w:hAnsi="宋体"/>
                <w:bCs/>
                <w:szCs w:val="21"/>
              </w:rPr>
              <w:t>湖南省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spacing w:line="240" w:lineRule="exact"/>
              <w:ind w:firstLine="420" w:firstLineChars="200"/>
              <w:jc w:val="left"/>
              <w:rPr>
                <w:rFonts w:hint="eastAsia" w:ascii="宋体" w:hAnsi="宋体"/>
                <w:bCs/>
                <w:szCs w:val="21"/>
              </w:rPr>
            </w:pPr>
            <w:r>
              <w:rPr>
                <w:rFonts w:hint="eastAsia" w:ascii="宋体" w:hAnsi="宋体"/>
                <w:bCs/>
                <w:szCs w:val="21"/>
              </w:rPr>
              <w:t>常住人口城镇化率（%）</w:t>
            </w:r>
          </w:p>
        </w:tc>
        <w:tc>
          <w:tcPr>
            <w:tcW w:w="1174" w:type="dxa"/>
            <w:vAlign w:val="center"/>
          </w:tcPr>
          <w:p>
            <w:pPr>
              <w:spacing w:line="240" w:lineRule="exact"/>
              <w:jc w:val="center"/>
              <w:rPr>
                <w:rFonts w:hint="eastAsia" w:ascii="宋体" w:hAnsi="宋体"/>
                <w:bCs/>
                <w:szCs w:val="21"/>
              </w:rPr>
            </w:pPr>
            <w:r>
              <w:rPr>
                <w:rFonts w:hint="eastAsia" w:ascii="宋体" w:hAnsi="宋体"/>
                <w:bCs/>
                <w:szCs w:val="21"/>
              </w:rPr>
              <w:t>≥72</w:t>
            </w:r>
          </w:p>
        </w:tc>
        <w:tc>
          <w:tcPr>
            <w:tcW w:w="1405" w:type="dxa"/>
            <w:vAlign w:val="center"/>
          </w:tcPr>
          <w:p>
            <w:pPr>
              <w:spacing w:line="240" w:lineRule="exact"/>
              <w:jc w:val="center"/>
              <w:rPr>
                <w:rFonts w:hint="eastAsia" w:ascii="宋体" w:hAnsi="宋体"/>
                <w:bCs/>
                <w:szCs w:val="21"/>
              </w:rPr>
            </w:pPr>
            <w:r>
              <w:rPr>
                <w:rFonts w:hint="eastAsia" w:ascii="宋体" w:hAnsi="宋体"/>
                <w:bCs/>
                <w:szCs w:val="21"/>
              </w:rPr>
              <w:t>58左右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spacing w:line="240" w:lineRule="exact"/>
              <w:ind w:firstLine="420" w:firstLineChars="200"/>
              <w:jc w:val="left"/>
              <w:rPr>
                <w:rFonts w:hint="eastAsia" w:ascii="宋体" w:hAnsi="宋体"/>
                <w:bCs/>
                <w:szCs w:val="21"/>
              </w:rPr>
            </w:pPr>
            <w:r>
              <w:rPr>
                <w:rFonts w:hint="eastAsia" w:ascii="宋体" w:hAnsi="宋体"/>
                <w:bCs/>
                <w:szCs w:val="21"/>
              </w:rPr>
              <w:t>户籍人口城镇化率（%）</w:t>
            </w:r>
          </w:p>
        </w:tc>
        <w:tc>
          <w:tcPr>
            <w:tcW w:w="1174" w:type="dxa"/>
            <w:vAlign w:val="center"/>
          </w:tcPr>
          <w:p>
            <w:pPr>
              <w:spacing w:line="240" w:lineRule="exact"/>
              <w:jc w:val="center"/>
              <w:rPr>
                <w:rFonts w:hint="eastAsia" w:ascii="宋体" w:hAnsi="宋体"/>
                <w:bCs/>
                <w:szCs w:val="21"/>
              </w:rPr>
            </w:pPr>
            <w:r>
              <w:rPr>
                <w:rFonts w:hint="eastAsia" w:ascii="宋体" w:hAnsi="宋体"/>
                <w:bCs/>
                <w:szCs w:val="21"/>
              </w:rPr>
              <w:t>≥50</w:t>
            </w:r>
          </w:p>
        </w:tc>
        <w:tc>
          <w:tcPr>
            <w:tcW w:w="1405" w:type="dxa"/>
            <w:vAlign w:val="center"/>
          </w:tcPr>
          <w:p>
            <w:pPr>
              <w:spacing w:line="240" w:lineRule="exact"/>
              <w:jc w:val="center"/>
              <w:rPr>
                <w:rFonts w:hint="eastAsia" w:ascii="宋体" w:hAnsi="宋体"/>
                <w:bCs/>
                <w:szCs w:val="21"/>
              </w:rPr>
            </w:pPr>
            <w:r>
              <w:rPr>
                <w:rFonts w:hint="eastAsia" w:ascii="宋体" w:hAnsi="宋体"/>
                <w:bCs/>
                <w:szCs w:val="21"/>
              </w:rPr>
              <w:t>35左右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spacing w:line="240" w:lineRule="exact"/>
              <w:ind w:firstLine="420" w:firstLineChars="200"/>
              <w:jc w:val="left"/>
              <w:rPr>
                <w:rFonts w:hint="eastAsia" w:ascii="宋体" w:hAnsi="宋体"/>
                <w:bCs/>
                <w:szCs w:val="21"/>
              </w:rPr>
            </w:pPr>
            <w:r>
              <w:rPr>
                <w:rFonts w:hint="eastAsia" w:ascii="宋体" w:hAnsi="宋体"/>
                <w:bCs/>
                <w:szCs w:val="21"/>
              </w:rPr>
              <w:t>农民工随迁子女接受义务教育比例（%）</w:t>
            </w:r>
          </w:p>
        </w:tc>
        <w:tc>
          <w:tcPr>
            <w:tcW w:w="1174" w:type="dxa"/>
            <w:vAlign w:val="center"/>
          </w:tcPr>
          <w:p>
            <w:pPr>
              <w:spacing w:line="240" w:lineRule="exact"/>
              <w:jc w:val="center"/>
              <w:rPr>
                <w:rFonts w:hint="eastAsia" w:ascii="宋体" w:hAnsi="宋体"/>
                <w:bCs/>
                <w:szCs w:val="21"/>
              </w:rPr>
            </w:pPr>
            <w:r>
              <w:rPr>
                <w:rFonts w:hint="eastAsia" w:ascii="宋体" w:hAnsi="宋体"/>
                <w:bCs/>
                <w:szCs w:val="21"/>
              </w:rPr>
              <w:t>100</w:t>
            </w:r>
          </w:p>
        </w:tc>
        <w:tc>
          <w:tcPr>
            <w:tcW w:w="1405" w:type="dxa"/>
            <w:vAlign w:val="center"/>
          </w:tcPr>
          <w:p>
            <w:pPr>
              <w:spacing w:line="240" w:lineRule="exact"/>
              <w:jc w:val="center"/>
              <w:rPr>
                <w:rFonts w:hint="eastAsia" w:ascii="宋体" w:hAnsi="宋体"/>
                <w:bCs/>
                <w:szCs w:val="21"/>
              </w:rPr>
            </w:pPr>
            <w:r>
              <w:rPr>
                <w:rFonts w:hint="eastAsia" w:ascii="宋体" w:hAnsi="宋体"/>
                <w:bCs/>
                <w:szCs w:val="21"/>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3" w:hRule="atLeast"/>
          <w:jc w:val="center"/>
        </w:trPr>
        <w:tc>
          <w:tcPr>
            <w:tcW w:w="6054" w:type="dxa"/>
            <w:tcMar>
              <w:left w:w="57" w:type="dxa"/>
              <w:right w:w="57" w:type="dxa"/>
            </w:tcMar>
            <w:vAlign w:val="center"/>
          </w:tcPr>
          <w:p>
            <w:pPr>
              <w:spacing w:line="240" w:lineRule="exact"/>
              <w:ind w:firstLine="420" w:firstLineChars="200"/>
              <w:jc w:val="left"/>
              <w:rPr>
                <w:rFonts w:hint="eastAsia" w:ascii="宋体" w:hAnsi="宋体"/>
                <w:bCs/>
                <w:szCs w:val="21"/>
              </w:rPr>
            </w:pPr>
            <w:r>
              <w:rPr>
                <w:rFonts w:hint="eastAsia" w:ascii="宋体" w:hAnsi="宋体"/>
                <w:bCs/>
                <w:szCs w:val="21"/>
              </w:rPr>
              <w:t>城镇失业人员、进城务工人员、新成长劳动力免费接受基本职业技能培训覆盖率（%）</w:t>
            </w:r>
          </w:p>
        </w:tc>
        <w:tc>
          <w:tcPr>
            <w:tcW w:w="1174" w:type="dxa"/>
            <w:vAlign w:val="center"/>
          </w:tcPr>
          <w:p>
            <w:pPr>
              <w:spacing w:line="240" w:lineRule="exact"/>
              <w:jc w:val="center"/>
              <w:rPr>
                <w:rFonts w:hint="eastAsia" w:ascii="宋体" w:hAnsi="宋体"/>
                <w:bCs/>
                <w:szCs w:val="21"/>
              </w:rPr>
            </w:pPr>
            <w:r>
              <w:rPr>
                <w:rFonts w:hint="eastAsia" w:ascii="宋体" w:hAnsi="宋体"/>
                <w:bCs/>
                <w:szCs w:val="21"/>
              </w:rPr>
              <w:t>100</w:t>
            </w:r>
          </w:p>
        </w:tc>
        <w:tc>
          <w:tcPr>
            <w:tcW w:w="1405" w:type="dxa"/>
            <w:vAlign w:val="center"/>
          </w:tcPr>
          <w:p>
            <w:pPr>
              <w:spacing w:line="240" w:lineRule="exact"/>
              <w:jc w:val="center"/>
              <w:rPr>
                <w:rFonts w:hint="eastAsia" w:ascii="宋体" w:hAnsi="宋体"/>
                <w:bCs/>
                <w:szCs w:val="21"/>
              </w:rPr>
            </w:pPr>
            <w:r>
              <w:rPr>
                <w:rFonts w:hint="eastAsia" w:ascii="宋体" w:hAnsi="宋体"/>
                <w:bCs/>
                <w:szCs w:val="21"/>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spacing w:line="240" w:lineRule="exact"/>
              <w:ind w:firstLine="420" w:firstLineChars="200"/>
              <w:jc w:val="left"/>
              <w:rPr>
                <w:rFonts w:hint="eastAsia" w:ascii="宋体" w:hAnsi="宋体"/>
                <w:bCs/>
                <w:szCs w:val="21"/>
              </w:rPr>
            </w:pPr>
            <w:r>
              <w:rPr>
                <w:rFonts w:hint="eastAsia" w:ascii="宋体" w:hAnsi="宋体"/>
                <w:bCs/>
                <w:szCs w:val="21"/>
              </w:rPr>
              <w:t>城镇常住人口基本养老保险覆盖率（%）</w:t>
            </w:r>
          </w:p>
        </w:tc>
        <w:tc>
          <w:tcPr>
            <w:tcW w:w="1174" w:type="dxa"/>
            <w:vAlign w:val="center"/>
          </w:tcPr>
          <w:p>
            <w:pPr>
              <w:spacing w:line="240" w:lineRule="exact"/>
              <w:jc w:val="center"/>
              <w:rPr>
                <w:rFonts w:hint="eastAsia" w:ascii="宋体" w:hAnsi="宋体"/>
                <w:bCs/>
                <w:szCs w:val="21"/>
              </w:rPr>
            </w:pPr>
            <w:r>
              <w:rPr>
                <w:rFonts w:hint="eastAsia" w:ascii="宋体" w:hAnsi="宋体"/>
                <w:bCs/>
                <w:szCs w:val="21"/>
              </w:rPr>
              <w:t>≥98</w:t>
            </w:r>
          </w:p>
        </w:tc>
        <w:tc>
          <w:tcPr>
            <w:tcW w:w="1405" w:type="dxa"/>
            <w:vAlign w:val="center"/>
          </w:tcPr>
          <w:p>
            <w:pPr>
              <w:spacing w:line="240" w:lineRule="exact"/>
              <w:jc w:val="center"/>
              <w:rPr>
                <w:rFonts w:hint="eastAsia" w:ascii="宋体" w:hAnsi="宋体"/>
                <w:bCs/>
                <w:szCs w:val="21"/>
              </w:rPr>
            </w:pPr>
            <w:r>
              <w:rPr>
                <w:rFonts w:hint="eastAsia" w:ascii="宋体" w:hAnsi="宋体"/>
                <w:bCs/>
                <w:szCs w:val="21"/>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spacing w:line="240" w:lineRule="exact"/>
              <w:ind w:firstLine="420" w:firstLineChars="200"/>
              <w:jc w:val="left"/>
              <w:rPr>
                <w:rFonts w:hint="eastAsia" w:ascii="宋体" w:hAnsi="宋体"/>
                <w:bCs/>
                <w:szCs w:val="21"/>
              </w:rPr>
            </w:pPr>
            <w:r>
              <w:rPr>
                <w:rFonts w:hint="eastAsia" w:ascii="宋体" w:hAnsi="宋体"/>
                <w:bCs/>
                <w:szCs w:val="21"/>
              </w:rPr>
              <w:t>城镇常住人口基本医疗保险覆盖率（%）</w:t>
            </w:r>
          </w:p>
        </w:tc>
        <w:tc>
          <w:tcPr>
            <w:tcW w:w="1174" w:type="dxa"/>
            <w:vAlign w:val="center"/>
          </w:tcPr>
          <w:p>
            <w:pPr>
              <w:spacing w:line="240" w:lineRule="exact"/>
              <w:jc w:val="center"/>
              <w:rPr>
                <w:rFonts w:hint="eastAsia" w:ascii="宋体" w:hAnsi="宋体"/>
                <w:bCs/>
                <w:szCs w:val="21"/>
              </w:rPr>
            </w:pPr>
            <w:r>
              <w:rPr>
                <w:rFonts w:hint="eastAsia" w:ascii="宋体" w:hAnsi="宋体"/>
                <w:bCs/>
                <w:szCs w:val="21"/>
              </w:rPr>
              <w:t>≥98</w:t>
            </w:r>
          </w:p>
        </w:tc>
        <w:tc>
          <w:tcPr>
            <w:tcW w:w="1405" w:type="dxa"/>
            <w:vAlign w:val="center"/>
          </w:tcPr>
          <w:p>
            <w:pPr>
              <w:spacing w:line="240" w:lineRule="exact"/>
              <w:jc w:val="center"/>
              <w:rPr>
                <w:rFonts w:hint="eastAsia" w:ascii="宋体" w:hAnsi="宋体"/>
                <w:bCs/>
                <w:szCs w:val="21"/>
              </w:rPr>
            </w:pPr>
            <w:r>
              <w:rPr>
                <w:rFonts w:hint="eastAsia" w:ascii="宋体" w:hAnsi="宋体"/>
                <w:bCs/>
                <w:szCs w:val="21"/>
              </w:rPr>
              <w:t>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spacing w:line="240" w:lineRule="exact"/>
              <w:ind w:firstLine="420" w:firstLineChars="200"/>
              <w:rPr>
                <w:rFonts w:hint="eastAsia" w:ascii="宋体" w:hAnsi="宋体"/>
                <w:bCs/>
                <w:szCs w:val="21"/>
              </w:rPr>
            </w:pPr>
            <w:r>
              <w:rPr>
                <w:rFonts w:hint="eastAsia" w:ascii="宋体" w:hAnsi="宋体"/>
                <w:bCs/>
                <w:szCs w:val="21"/>
              </w:rPr>
              <w:t>城镇居民社会养老保险基础养老金水平比较指数（%）</w:t>
            </w:r>
          </w:p>
        </w:tc>
        <w:tc>
          <w:tcPr>
            <w:tcW w:w="1174" w:type="dxa"/>
            <w:vAlign w:val="center"/>
          </w:tcPr>
          <w:p>
            <w:pPr>
              <w:spacing w:line="240" w:lineRule="exact"/>
              <w:jc w:val="center"/>
              <w:rPr>
                <w:rFonts w:hint="eastAsia" w:ascii="宋体" w:hAnsi="宋体"/>
                <w:bCs/>
                <w:szCs w:val="21"/>
              </w:rPr>
            </w:pPr>
            <w:r>
              <w:rPr>
                <w:rFonts w:hint="eastAsia" w:ascii="宋体" w:hAnsi="宋体"/>
                <w:bCs/>
                <w:szCs w:val="21"/>
              </w:rPr>
              <w:t>100</w:t>
            </w:r>
          </w:p>
        </w:tc>
        <w:tc>
          <w:tcPr>
            <w:tcW w:w="1405" w:type="dxa"/>
            <w:vAlign w:val="top"/>
          </w:tcPr>
          <w:p>
            <w:pPr>
              <w:spacing w:line="240" w:lineRule="exact"/>
              <w:jc w:val="center"/>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spacing w:line="240" w:lineRule="exact"/>
              <w:ind w:firstLine="420" w:firstLineChars="200"/>
              <w:jc w:val="left"/>
              <w:rPr>
                <w:rFonts w:hint="eastAsia" w:ascii="宋体" w:hAnsi="宋体"/>
                <w:bCs/>
                <w:szCs w:val="21"/>
              </w:rPr>
            </w:pPr>
            <w:r>
              <w:rPr>
                <w:rFonts w:hint="eastAsia" w:ascii="宋体" w:hAnsi="宋体"/>
                <w:bCs/>
                <w:szCs w:val="21"/>
              </w:rPr>
              <w:t>城镇常住人口保障性住房覆盖率（%）</w:t>
            </w:r>
          </w:p>
        </w:tc>
        <w:tc>
          <w:tcPr>
            <w:tcW w:w="1174" w:type="dxa"/>
            <w:vAlign w:val="center"/>
          </w:tcPr>
          <w:p>
            <w:pPr>
              <w:spacing w:line="240" w:lineRule="exact"/>
              <w:jc w:val="center"/>
              <w:rPr>
                <w:rFonts w:hint="eastAsia" w:ascii="宋体" w:hAnsi="宋体"/>
                <w:bCs/>
                <w:szCs w:val="21"/>
              </w:rPr>
            </w:pPr>
            <w:r>
              <w:rPr>
                <w:rFonts w:hint="eastAsia" w:ascii="宋体" w:hAnsi="宋体"/>
                <w:bCs/>
                <w:szCs w:val="21"/>
              </w:rPr>
              <w:t>≥25</w:t>
            </w:r>
          </w:p>
        </w:tc>
        <w:tc>
          <w:tcPr>
            <w:tcW w:w="1405" w:type="dxa"/>
            <w:vAlign w:val="top"/>
          </w:tcPr>
          <w:p>
            <w:pPr>
              <w:spacing w:line="240" w:lineRule="exact"/>
              <w:jc w:val="center"/>
              <w:rPr>
                <w:rFonts w:hint="eastAsia" w:ascii="宋体" w:hAnsi="宋体"/>
                <w:bCs/>
                <w:szCs w:val="21"/>
              </w:rPr>
            </w:pPr>
            <w:r>
              <w:rPr>
                <w:rFonts w:hint="eastAsia" w:ascii="宋体" w:hAnsi="宋体"/>
                <w:bCs/>
                <w:szCs w:val="21"/>
              </w:rPr>
              <w:t>≥23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1" w:hRule="atLeast"/>
          <w:jc w:val="center"/>
        </w:trPr>
        <w:tc>
          <w:tcPr>
            <w:tcW w:w="6054" w:type="dxa"/>
            <w:tcMar>
              <w:left w:w="57" w:type="dxa"/>
              <w:right w:w="57" w:type="dxa"/>
            </w:tcMar>
            <w:vAlign w:val="center"/>
          </w:tcPr>
          <w:p>
            <w:pPr>
              <w:spacing w:line="240" w:lineRule="exact"/>
              <w:ind w:firstLine="420" w:firstLineChars="200"/>
              <w:jc w:val="left"/>
              <w:rPr>
                <w:rFonts w:hint="eastAsia" w:ascii="宋体" w:hAnsi="宋体"/>
                <w:bCs/>
                <w:szCs w:val="21"/>
              </w:rPr>
            </w:pPr>
            <w:r>
              <w:rPr>
                <w:rFonts w:hint="eastAsia" w:ascii="宋体" w:hAnsi="宋体"/>
                <w:bCs/>
                <w:szCs w:val="21"/>
              </w:rPr>
              <w:t>城市公共交通占机动出行比例（%）</w:t>
            </w:r>
          </w:p>
        </w:tc>
        <w:tc>
          <w:tcPr>
            <w:tcW w:w="1174" w:type="dxa"/>
            <w:vAlign w:val="center"/>
          </w:tcPr>
          <w:p>
            <w:pPr>
              <w:spacing w:line="240" w:lineRule="exact"/>
              <w:ind w:firstLine="210" w:firstLineChars="100"/>
              <w:jc w:val="center"/>
              <w:rPr>
                <w:rFonts w:hint="eastAsia" w:ascii="宋体" w:hAnsi="宋体"/>
                <w:bCs/>
                <w:szCs w:val="21"/>
              </w:rPr>
            </w:pPr>
            <w:r>
              <w:rPr>
                <w:rFonts w:hint="eastAsia" w:ascii="宋体" w:hAnsi="宋体"/>
                <w:bCs/>
                <w:szCs w:val="21"/>
              </w:rPr>
              <w:t>40</w:t>
            </w:r>
          </w:p>
        </w:tc>
        <w:tc>
          <w:tcPr>
            <w:tcW w:w="1405" w:type="dxa"/>
            <w:vAlign w:val="top"/>
          </w:tcPr>
          <w:p>
            <w:pPr>
              <w:spacing w:line="240" w:lineRule="exact"/>
              <w:ind w:firstLine="210" w:firstLineChars="100"/>
              <w:jc w:val="center"/>
              <w:rPr>
                <w:rFonts w:hint="eastAsia" w:ascii="宋体" w:hAnsi="宋体"/>
                <w:bCs/>
                <w:szCs w:val="21"/>
              </w:rPr>
            </w:pPr>
            <w:r>
              <w:rPr>
                <w:rFonts w:hint="eastAsia" w:ascii="宋体" w:hAnsi="宋体"/>
                <w:bCs/>
                <w:szCs w:val="21"/>
              </w:rPr>
              <w:t>≥60（人口≥100万）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spacing w:line="240" w:lineRule="exact"/>
              <w:ind w:firstLine="420" w:firstLineChars="200"/>
              <w:jc w:val="left"/>
              <w:rPr>
                <w:rFonts w:hint="eastAsia" w:ascii="宋体" w:hAnsi="宋体"/>
                <w:bCs/>
                <w:szCs w:val="21"/>
              </w:rPr>
            </w:pPr>
            <w:r>
              <w:rPr>
                <w:rFonts w:hint="eastAsia" w:ascii="宋体" w:hAnsi="宋体"/>
                <w:bCs/>
                <w:szCs w:val="21"/>
              </w:rPr>
              <w:t>镇村公交覆盖率（%）</w:t>
            </w:r>
          </w:p>
        </w:tc>
        <w:tc>
          <w:tcPr>
            <w:tcW w:w="1174" w:type="dxa"/>
            <w:vAlign w:val="center"/>
          </w:tcPr>
          <w:p>
            <w:pPr>
              <w:spacing w:line="240" w:lineRule="exact"/>
              <w:jc w:val="center"/>
              <w:rPr>
                <w:rFonts w:hint="eastAsia" w:ascii="宋体" w:hAnsi="宋体"/>
                <w:bCs/>
                <w:szCs w:val="21"/>
              </w:rPr>
            </w:pPr>
            <w:r>
              <w:rPr>
                <w:rFonts w:hint="eastAsia" w:ascii="宋体" w:hAnsi="宋体"/>
                <w:bCs/>
                <w:szCs w:val="21"/>
              </w:rPr>
              <w:t>100</w:t>
            </w:r>
          </w:p>
        </w:tc>
        <w:tc>
          <w:tcPr>
            <w:tcW w:w="1405" w:type="dxa"/>
            <w:vAlign w:val="top"/>
          </w:tcPr>
          <w:p>
            <w:pPr>
              <w:spacing w:line="240" w:lineRule="exact"/>
              <w:ind w:firstLine="210" w:firstLineChars="100"/>
              <w:jc w:val="center"/>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spacing w:line="240" w:lineRule="exact"/>
              <w:ind w:firstLine="420" w:firstLineChars="200"/>
              <w:jc w:val="left"/>
              <w:rPr>
                <w:rFonts w:hint="eastAsia" w:ascii="宋体" w:hAnsi="宋体"/>
                <w:bCs/>
                <w:szCs w:val="21"/>
              </w:rPr>
            </w:pPr>
            <w:r>
              <w:rPr>
                <w:rFonts w:hint="eastAsia" w:ascii="宋体" w:hAnsi="宋体"/>
                <w:bCs/>
                <w:szCs w:val="21"/>
              </w:rPr>
              <w:t>城镇供水覆盖率（%）</w:t>
            </w:r>
          </w:p>
        </w:tc>
        <w:tc>
          <w:tcPr>
            <w:tcW w:w="1174" w:type="dxa"/>
            <w:vAlign w:val="center"/>
          </w:tcPr>
          <w:p>
            <w:pPr>
              <w:spacing w:line="240" w:lineRule="exact"/>
              <w:jc w:val="center"/>
              <w:rPr>
                <w:rFonts w:hint="eastAsia" w:ascii="宋体" w:hAnsi="宋体"/>
                <w:bCs/>
                <w:szCs w:val="21"/>
              </w:rPr>
            </w:pPr>
            <w:r>
              <w:rPr>
                <w:rFonts w:hint="eastAsia" w:ascii="宋体" w:hAnsi="宋体"/>
                <w:bCs/>
                <w:szCs w:val="21"/>
              </w:rPr>
              <w:t>100</w:t>
            </w:r>
          </w:p>
        </w:tc>
        <w:tc>
          <w:tcPr>
            <w:tcW w:w="1405" w:type="dxa"/>
            <w:vAlign w:val="center"/>
          </w:tcPr>
          <w:p>
            <w:pPr>
              <w:spacing w:line="240" w:lineRule="exact"/>
              <w:jc w:val="center"/>
              <w:rPr>
                <w:rFonts w:hint="eastAsia" w:ascii="宋体" w:hAnsi="宋体"/>
                <w:bCs/>
                <w:szCs w:val="21"/>
              </w:rPr>
            </w:pPr>
            <w:r>
              <w:rPr>
                <w:rFonts w:hint="eastAsia" w:ascii="宋体" w:hAnsi="宋体"/>
                <w:bCs/>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spacing w:line="240" w:lineRule="exact"/>
              <w:ind w:firstLine="420" w:firstLineChars="200"/>
              <w:jc w:val="left"/>
              <w:rPr>
                <w:rFonts w:hint="eastAsia" w:ascii="宋体" w:hAnsi="宋体"/>
                <w:bCs/>
                <w:szCs w:val="21"/>
              </w:rPr>
            </w:pPr>
            <w:r>
              <w:rPr>
                <w:rFonts w:hint="eastAsia" w:ascii="宋体" w:hAnsi="宋体"/>
                <w:bCs/>
                <w:szCs w:val="21"/>
              </w:rPr>
              <w:t>城镇污水处理率（%）</w:t>
            </w:r>
          </w:p>
        </w:tc>
        <w:tc>
          <w:tcPr>
            <w:tcW w:w="1174" w:type="dxa"/>
            <w:vAlign w:val="center"/>
          </w:tcPr>
          <w:p>
            <w:pPr>
              <w:spacing w:line="240" w:lineRule="exact"/>
              <w:jc w:val="center"/>
              <w:rPr>
                <w:rFonts w:hint="eastAsia" w:ascii="宋体" w:hAnsi="宋体"/>
                <w:bCs/>
                <w:szCs w:val="21"/>
              </w:rPr>
            </w:pPr>
            <w:r>
              <w:rPr>
                <w:rFonts w:hint="eastAsia" w:ascii="宋体" w:hAnsi="宋体"/>
                <w:bCs/>
                <w:szCs w:val="21"/>
              </w:rPr>
              <w:t>95</w:t>
            </w:r>
          </w:p>
        </w:tc>
        <w:tc>
          <w:tcPr>
            <w:tcW w:w="1405" w:type="dxa"/>
            <w:vAlign w:val="center"/>
          </w:tcPr>
          <w:p>
            <w:pPr>
              <w:spacing w:line="240" w:lineRule="exact"/>
              <w:jc w:val="center"/>
              <w:rPr>
                <w:rFonts w:hint="eastAsia" w:ascii="宋体" w:hAnsi="宋体"/>
                <w:bCs/>
                <w:szCs w:val="21"/>
              </w:rPr>
            </w:pPr>
            <w:r>
              <w:rPr>
                <w:rFonts w:hint="eastAsia" w:ascii="宋体" w:hAnsi="宋体"/>
                <w:bCs/>
                <w:szCs w:val="21"/>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9" w:hRule="atLeast"/>
          <w:jc w:val="center"/>
        </w:trPr>
        <w:tc>
          <w:tcPr>
            <w:tcW w:w="6054" w:type="dxa"/>
            <w:tcMar>
              <w:left w:w="57" w:type="dxa"/>
              <w:right w:w="57" w:type="dxa"/>
            </w:tcMar>
            <w:vAlign w:val="center"/>
          </w:tcPr>
          <w:p>
            <w:pPr>
              <w:spacing w:line="240" w:lineRule="exact"/>
              <w:ind w:firstLine="420" w:firstLineChars="200"/>
              <w:jc w:val="left"/>
              <w:rPr>
                <w:rFonts w:hint="eastAsia" w:ascii="宋体" w:hAnsi="宋体"/>
                <w:bCs/>
                <w:szCs w:val="21"/>
              </w:rPr>
            </w:pPr>
            <w:r>
              <w:rPr>
                <w:rFonts w:hint="eastAsia" w:ascii="宋体" w:hAnsi="宋体"/>
                <w:bCs/>
                <w:szCs w:val="21"/>
              </w:rPr>
              <w:t>城镇燃气普及率（%）</w:t>
            </w:r>
          </w:p>
        </w:tc>
        <w:tc>
          <w:tcPr>
            <w:tcW w:w="1174" w:type="dxa"/>
            <w:vAlign w:val="center"/>
          </w:tcPr>
          <w:p>
            <w:pPr>
              <w:spacing w:line="240" w:lineRule="exact"/>
              <w:jc w:val="center"/>
              <w:rPr>
                <w:rFonts w:hint="eastAsia" w:ascii="宋体" w:hAnsi="宋体"/>
                <w:bCs/>
                <w:szCs w:val="21"/>
              </w:rPr>
            </w:pPr>
            <w:r>
              <w:rPr>
                <w:rFonts w:hint="eastAsia" w:ascii="宋体" w:hAnsi="宋体"/>
                <w:bCs/>
                <w:szCs w:val="21"/>
              </w:rPr>
              <w:t>98</w:t>
            </w:r>
          </w:p>
        </w:tc>
        <w:tc>
          <w:tcPr>
            <w:tcW w:w="1405" w:type="dxa"/>
            <w:vAlign w:val="center"/>
          </w:tcPr>
          <w:p>
            <w:pPr>
              <w:spacing w:line="240" w:lineRule="exact"/>
              <w:jc w:val="center"/>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0" w:hRule="atLeast"/>
          <w:jc w:val="center"/>
        </w:trPr>
        <w:tc>
          <w:tcPr>
            <w:tcW w:w="6054" w:type="dxa"/>
            <w:tcMar>
              <w:left w:w="57" w:type="dxa"/>
              <w:right w:w="57" w:type="dxa"/>
            </w:tcMar>
            <w:vAlign w:val="center"/>
          </w:tcPr>
          <w:p>
            <w:pPr>
              <w:spacing w:line="240" w:lineRule="exact"/>
              <w:ind w:firstLine="420" w:firstLineChars="200"/>
              <w:jc w:val="left"/>
              <w:rPr>
                <w:rFonts w:hint="eastAsia" w:ascii="宋体" w:hAnsi="宋体"/>
                <w:bCs/>
                <w:szCs w:val="21"/>
              </w:rPr>
            </w:pPr>
            <w:r>
              <w:rPr>
                <w:rFonts w:hint="eastAsia" w:ascii="宋体" w:hAnsi="宋体"/>
                <w:bCs/>
                <w:szCs w:val="21"/>
              </w:rPr>
              <w:t>城乡生活垃圾无害化处理率（%）</w:t>
            </w:r>
          </w:p>
        </w:tc>
        <w:tc>
          <w:tcPr>
            <w:tcW w:w="1174" w:type="dxa"/>
            <w:vAlign w:val="center"/>
          </w:tcPr>
          <w:p>
            <w:pPr>
              <w:spacing w:line="240" w:lineRule="exact"/>
              <w:jc w:val="center"/>
              <w:rPr>
                <w:rFonts w:hint="eastAsia" w:ascii="宋体" w:hAnsi="宋体"/>
                <w:bCs/>
                <w:szCs w:val="21"/>
              </w:rPr>
            </w:pPr>
            <w:r>
              <w:rPr>
                <w:rFonts w:hint="eastAsia" w:ascii="宋体" w:hAnsi="宋体"/>
                <w:bCs/>
                <w:szCs w:val="21"/>
              </w:rPr>
              <w:t>100%</w:t>
            </w:r>
          </w:p>
        </w:tc>
        <w:tc>
          <w:tcPr>
            <w:tcW w:w="1405" w:type="dxa"/>
            <w:vAlign w:val="center"/>
          </w:tcPr>
          <w:p>
            <w:pPr>
              <w:spacing w:line="240" w:lineRule="exact"/>
              <w:jc w:val="center"/>
              <w:rPr>
                <w:rFonts w:hint="eastAsia" w:ascii="宋体" w:hAnsi="宋体"/>
                <w:bCs/>
                <w:szCs w:val="21"/>
              </w:rPr>
            </w:pPr>
            <w:r>
              <w:rPr>
                <w:rFonts w:hint="eastAsia" w:ascii="宋体" w:hAnsi="宋体"/>
                <w:bCs/>
                <w:szCs w:val="21"/>
              </w:rPr>
              <w:t>95（县以上）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63" w:hRule="atLeast"/>
          <w:jc w:val="center"/>
        </w:trPr>
        <w:tc>
          <w:tcPr>
            <w:tcW w:w="6054" w:type="dxa"/>
            <w:tcMar>
              <w:left w:w="57" w:type="dxa"/>
              <w:right w:w="57" w:type="dxa"/>
            </w:tcMar>
            <w:vAlign w:val="center"/>
          </w:tcPr>
          <w:p>
            <w:pPr>
              <w:spacing w:line="240" w:lineRule="exact"/>
              <w:ind w:firstLine="420" w:firstLineChars="200"/>
              <w:jc w:val="left"/>
              <w:rPr>
                <w:rFonts w:hint="eastAsia" w:ascii="宋体" w:hAnsi="宋体"/>
                <w:bCs/>
                <w:szCs w:val="21"/>
              </w:rPr>
            </w:pPr>
            <w:r>
              <w:rPr>
                <w:rFonts w:hint="eastAsia" w:ascii="宋体" w:hAnsi="宋体"/>
                <w:bCs/>
                <w:szCs w:val="21"/>
              </w:rPr>
              <w:t>城镇家庭宽带接入能力（Mbps）</w:t>
            </w:r>
          </w:p>
        </w:tc>
        <w:tc>
          <w:tcPr>
            <w:tcW w:w="1174" w:type="dxa"/>
            <w:vAlign w:val="center"/>
          </w:tcPr>
          <w:p>
            <w:pPr>
              <w:spacing w:line="240" w:lineRule="exact"/>
              <w:jc w:val="center"/>
              <w:rPr>
                <w:rFonts w:hint="eastAsia" w:ascii="宋体" w:hAnsi="宋体"/>
                <w:bCs/>
                <w:szCs w:val="21"/>
              </w:rPr>
            </w:pPr>
            <w:r>
              <w:rPr>
                <w:rFonts w:hint="eastAsia" w:ascii="宋体" w:hAnsi="宋体"/>
                <w:bCs/>
                <w:szCs w:val="21"/>
              </w:rPr>
              <w:t>60</w:t>
            </w:r>
          </w:p>
        </w:tc>
        <w:tc>
          <w:tcPr>
            <w:tcW w:w="1405" w:type="dxa"/>
            <w:vAlign w:val="center"/>
          </w:tcPr>
          <w:p>
            <w:pPr>
              <w:spacing w:line="240" w:lineRule="exact"/>
              <w:jc w:val="center"/>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3" w:hRule="atLeast"/>
          <w:jc w:val="center"/>
        </w:trPr>
        <w:tc>
          <w:tcPr>
            <w:tcW w:w="6054" w:type="dxa"/>
            <w:tcMar>
              <w:left w:w="57" w:type="dxa"/>
              <w:right w:w="57" w:type="dxa"/>
            </w:tcMar>
            <w:vAlign w:val="center"/>
          </w:tcPr>
          <w:p>
            <w:pPr>
              <w:spacing w:line="240" w:lineRule="exact"/>
              <w:ind w:firstLine="420" w:firstLineChars="200"/>
              <w:jc w:val="left"/>
              <w:rPr>
                <w:rFonts w:hint="eastAsia" w:ascii="宋体" w:hAnsi="宋体"/>
                <w:bCs/>
                <w:szCs w:val="21"/>
              </w:rPr>
            </w:pPr>
            <w:r>
              <w:rPr>
                <w:rFonts w:hint="eastAsia" w:ascii="宋体" w:hAnsi="宋体"/>
                <w:bCs/>
                <w:szCs w:val="21"/>
              </w:rPr>
              <w:t>中心城区主干道道路网密度</w:t>
            </w:r>
          </w:p>
        </w:tc>
        <w:tc>
          <w:tcPr>
            <w:tcW w:w="1174" w:type="dxa"/>
            <w:vAlign w:val="center"/>
          </w:tcPr>
          <w:p>
            <w:pPr>
              <w:spacing w:line="240" w:lineRule="exact"/>
              <w:jc w:val="center"/>
              <w:rPr>
                <w:rFonts w:hint="eastAsia" w:ascii="宋体" w:hAnsi="宋体"/>
                <w:bCs/>
                <w:szCs w:val="21"/>
              </w:rPr>
            </w:pPr>
            <w:r>
              <w:rPr>
                <w:rFonts w:hint="eastAsia" w:ascii="宋体" w:hAnsi="宋体"/>
                <w:bCs/>
                <w:szCs w:val="21"/>
              </w:rPr>
              <w:t>5公里/平方公里</w:t>
            </w:r>
          </w:p>
        </w:tc>
        <w:tc>
          <w:tcPr>
            <w:tcW w:w="1405" w:type="dxa"/>
            <w:vAlign w:val="center"/>
          </w:tcPr>
          <w:p>
            <w:pPr>
              <w:spacing w:line="240" w:lineRule="exact"/>
              <w:jc w:val="center"/>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spacing w:line="240" w:lineRule="exact"/>
              <w:ind w:firstLine="420" w:firstLineChars="200"/>
              <w:jc w:val="left"/>
              <w:rPr>
                <w:rFonts w:hint="eastAsia" w:ascii="宋体" w:hAnsi="宋体"/>
                <w:bCs/>
                <w:szCs w:val="21"/>
              </w:rPr>
            </w:pPr>
            <w:r>
              <w:rPr>
                <w:rFonts w:hint="eastAsia" w:ascii="宋体" w:hAnsi="宋体"/>
                <w:bCs/>
                <w:szCs w:val="21"/>
              </w:rPr>
              <w:t>城镇社区综合服务设施覆盖率（%）</w:t>
            </w:r>
          </w:p>
        </w:tc>
        <w:tc>
          <w:tcPr>
            <w:tcW w:w="1174" w:type="dxa"/>
            <w:vAlign w:val="center"/>
          </w:tcPr>
          <w:p>
            <w:pPr>
              <w:spacing w:line="240" w:lineRule="exact"/>
              <w:jc w:val="center"/>
              <w:rPr>
                <w:rFonts w:hint="eastAsia" w:ascii="宋体" w:hAnsi="宋体"/>
                <w:bCs/>
                <w:szCs w:val="21"/>
              </w:rPr>
            </w:pPr>
            <w:r>
              <w:rPr>
                <w:rFonts w:hint="eastAsia" w:ascii="宋体" w:hAnsi="宋体"/>
                <w:bCs/>
                <w:szCs w:val="21"/>
              </w:rPr>
              <w:t>100</w:t>
            </w:r>
          </w:p>
        </w:tc>
        <w:tc>
          <w:tcPr>
            <w:tcW w:w="1405" w:type="dxa"/>
            <w:vAlign w:val="center"/>
          </w:tcPr>
          <w:p>
            <w:pPr>
              <w:spacing w:line="240" w:lineRule="exact"/>
              <w:jc w:val="center"/>
              <w:rPr>
                <w:rFonts w:hint="eastAsia" w:ascii="宋体" w:hAnsi="宋体"/>
                <w:bCs/>
                <w:szCs w:val="21"/>
              </w:rPr>
            </w:pPr>
            <w:r>
              <w:rPr>
                <w:rFonts w:hint="eastAsia" w:ascii="宋体" w:hAnsi="宋体"/>
                <w:bCs/>
                <w:szCs w:val="21"/>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ind w:firstLine="420" w:firstLineChars="200"/>
              <w:jc w:val="left"/>
              <w:rPr>
                <w:rFonts w:hint="eastAsia" w:ascii="宋体" w:hAnsi="宋体"/>
                <w:b/>
                <w:szCs w:val="21"/>
              </w:rPr>
            </w:pPr>
            <w:r>
              <w:rPr>
                <w:rFonts w:hint="eastAsia" w:ascii="宋体" w:hAnsi="宋体"/>
                <w:szCs w:val="21"/>
              </w:rPr>
              <w:t>万元GDP能耗降低</w:t>
            </w:r>
            <w:r>
              <w:rPr>
                <w:rFonts w:hint="eastAsia" w:ascii="宋体" w:hAnsi="宋体"/>
                <w:bCs/>
                <w:szCs w:val="21"/>
              </w:rPr>
              <w:t>（%）</w:t>
            </w:r>
          </w:p>
        </w:tc>
        <w:tc>
          <w:tcPr>
            <w:tcW w:w="1174" w:type="dxa"/>
            <w:vAlign w:val="center"/>
          </w:tcPr>
          <w:p>
            <w:pPr>
              <w:jc w:val="center"/>
              <w:rPr>
                <w:rFonts w:hint="eastAsia" w:ascii="宋体" w:hAnsi="宋体"/>
                <w:szCs w:val="21"/>
              </w:rPr>
            </w:pPr>
            <w:r>
              <w:rPr>
                <w:rFonts w:hint="eastAsia" w:ascii="宋体" w:hAnsi="宋体"/>
                <w:szCs w:val="21"/>
              </w:rPr>
              <w:t>18</w:t>
            </w:r>
          </w:p>
        </w:tc>
        <w:tc>
          <w:tcPr>
            <w:tcW w:w="1405" w:type="dxa"/>
            <w:vAlign w:val="top"/>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ind w:firstLine="420" w:firstLineChars="200"/>
              <w:jc w:val="left"/>
              <w:rPr>
                <w:rFonts w:hint="eastAsia" w:ascii="宋体" w:hAnsi="宋体"/>
                <w:bCs/>
                <w:szCs w:val="21"/>
              </w:rPr>
            </w:pPr>
            <w:r>
              <w:rPr>
                <w:rFonts w:hint="eastAsia" w:ascii="宋体" w:hAnsi="宋体"/>
                <w:szCs w:val="21"/>
              </w:rPr>
              <w:t>城镇可再生能源消费比重</w:t>
            </w:r>
            <w:r>
              <w:rPr>
                <w:rFonts w:hint="eastAsia" w:ascii="宋体" w:hAnsi="宋体"/>
                <w:bCs/>
                <w:szCs w:val="21"/>
              </w:rPr>
              <w:t>（%）</w:t>
            </w:r>
          </w:p>
        </w:tc>
        <w:tc>
          <w:tcPr>
            <w:tcW w:w="1174" w:type="dxa"/>
            <w:vAlign w:val="center"/>
          </w:tcPr>
          <w:p>
            <w:pPr>
              <w:jc w:val="center"/>
              <w:rPr>
                <w:rFonts w:hint="eastAsia" w:ascii="宋体" w:hAnsi="宋体"/>
                <w:bCs/>
                <w:szCs w:val="21"/>
              </w:rPr>
            </w:pPr>
            <w:r>
              <w:rPr>
                <w:rFonts w:hint="eastAsia" w:ascii="宋体" w:hAnsi="宋体"/>
                <w:bCs/>
                <w:szCs w:val="21"/>
              </w:rPr>
              <w:t>17</w:t>
            </w:r>
          </w:p>
        </w:tc>
        <w:tc>
          <w:tcPr>
            <w:tcW w:w="1405" w:type="dxa"/>
            <w:vAlign w:val="top"/>
          </w:tcPr>
          <w:p>
            <w:pPr>
              <w:jc w:val="center"/>
              <w:rPr>
                <w:rFonts w:hint="eastAsia" w:ascii="宋体" w:hAnsi="宋体"/>
                <w:bCs/>
                <w:szCs w:val="21"/>
              </w:rPr>
            </w:pPr>
            <w:r>
              <w:rPr>
                <w:rFonts w:hint="eastAsia" w:ascii="宋体" w:hAnsi="宋体"/>
                <w:bCs/>
                <w:szCs w:val="21"/>
              </w:rPr>
              <w:t>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ind w:firstLine="420" w:firstLineChars="200"/>
              <w:jc w:val="left"/>
              <w:rPr>
                <w:rFonts w:hint="eastAsia" w:ascii="宋体" w:hAnsi="宋体"/>
                <w:bCs/>
                <w:szCs w:val="21"/>
              </w:rPr>
            </w:pPr>
            <w:r>
              <w:rPr>
                <w:rFonts w:hint="eastAsia" w:ascii="宋体" w:hAnsi="宋体"/>
                <w:szCs w:val="21"/>
              </w:rPr>
              <w:t>城镇绿色建筑占新建建筑比重</w:t>
            </w:r>
            <w:r>
              <w:rPr>
                <w:rFonts w:hint="eastAsia" w:ascii="宋体" w:hAnsi="宋体"/>
                <w:bCs/>
                <w:szCs w:val="21"/>
              </w:rPr>
              <w:t>（%）</w:t>
            </w:r>
          </w:p>
        </w:tc>
        <w:tc>
          <w:tcPr>
            <w:tcW w:w="1174" w:type="dxa"/>
            <w:vAlign w:val="center"/>
          </w:tcPr>
          <w:p>
            <w:pPr>
              <w:jc w:val="center"/>
              <w:rPr>
                <w:rFonts w:hint="eastAsia" w:ascii="宋体" w:hAnsi="宋体"/>
                <w:bCs/>
                <w:szCs w:val="21"/>
              </w:rPr>
            </w:pPr>
            <w:r>
              <w:rPr>
                <w:rFonts w:hint="eastAsia" w:ascii="宋体" w:hAnsi="宋体"/>
                <w:bCs/>
                <w:szCs w:val="21"/>
              </w:rPr>
              <w:t>50</w:t>
            </w:r>
          </w:p>
        </w:tc>
        <w:tc>
          <w:tcPr>
            <w:tcW w:w="1405" w:type="dxa"/>
            <w:vAlign w:val="top"/>
          </w:tcPr>
          <w:p>
            <w:pPr>
              <w:jc w:val="center"/>
              <w:rPr>
                <w:rFonts w:hint="eastAsia" w:ascii="宋体" w:hAnsi="宋体"/>
                <w:bCs/>
                <w:szCs w:val="21"/>
              </w:rPr>
            </w:pPr>
            <w:r>
              <w:rPr>
                <w:rFonts w:hint="eastAsia" w:ascii="宋体" w:hAnsi="宋体"/>
                <w:bCs/>
                <w:szCs w:val="21"/>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ind w:firstLine="420" w:firstLineChars="200"/>
              <w:jc w:val="left"/>
              <w:rPr>
                <w:rFonts w:hint="eastAsia" w:ascii="宋体" w:hAnsi="宋体"/>
                <w:bCs/>
                <w:szCs w:val="21"/>
              </w:rPr>
            </w:pPr>
            <w:r>
              <w:rPr>
                <w:rFonts w:hint="eastAsia" w:ascii="宋体" w:hAnsi="宋体"/>
                <w:bCs/>
                <w:szCs w:val="21"/>
              </w:rPr>
              <w:t>城镇建成区绿地率（%）</w:t>
            </w:r>
          </w:p>
        </w:tc>
        <w:tc>
          <w:tcPr>
            <w:tcW w:w="1174" w:type="dxa"/>
            <w:vAlign w:val="center"/>
          </w:tcPr>
          <w:p>
            <w:pPr>
              <w:jc w:val="center"/>
              <w:rPr>
                <w:rFonts w:hint="eastAsia" w:ascii="宋体" w:hAnsi="宋体"/>
                <w:bCs/>
                <w:szCs w:val="21"/>
              </w:rPr>
            </w:pPr>
            <w:r>
              <w:rPr>
                <w:rFonts w:hint="eastAsia" w:ascii="宋体" w:hAnsi="宋体"/>
                <w:bCs/>
                <w:szCs w:val="21"/>
              </w:rPr>
              <w:t>39</w:t>
            </w:r>
          </w:p>
        </w:tc>
        <w:tc>
          <w:tcPr>
            <w:tcW w:w="1405" w:type="dxa"/>
            <w:vAlign w:val="top"/>
          </w:tcPr>
          <w:p>
            <w:pPr>
              <w:jc w:val="center"/>
              <w:rPr>
                <w:rFonts w:hint="eastAsia" w:ascii="宋体" w:hAnsi="宋体"/>
                <w:bCs/>
                <w:szCs w:val="21"/>
              </w:rPr>
            </w:pPr>
            <w:r>
              <w:rPr>
                <w:rFonts w:hint="eastAsia" w:ascii="宋体" w:hAnsi="宋体"/>
                <w:bCs/>
                <w:szCs w:val="21"/>
              </w:rPr>
              <w:t>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ind w:firstLine="420" w:firstLineChars="200"/>
              <w:jc w:val="left"/>
              <w:rPr>
                <w:rFonts w:hint="eastAsia" w:ascii="宋体" w:hAnsi="宋体"/>
                <w:bCs/>
                <w:szCs w:val="21"/>
              </w:rPr>
            </w:pPr>
            <w:r>
              <w:rPr>
                <w:rFonts w:hint="eastAsia" w:ascii="宋体" w:hAnsi="宋体"/>
                <w:bCs/>
                <w:szCs w:val="21"/>
              </w:rPr>
              <w:t>空气质量达到国家标准的天数比例（%）</w:t>
            </w:r>
          </w:p>
        </w:tc>
        <w:tc>
          <w:tcPr>
            <w:tcW w:w="1174" w:type="dxa"/>
            <w:vAlign w:val="center"/>
          </w:tcPr>
          <w:p>
            <w:pPr>
              <w:jc w:val="center"/>
              <w:rPr>
                <w:rFonts w:hint="eastAsia" w:ascii="宋体" w:hAnsi="宋体"/>
                <w:bCs/>
                <w:szCs w:val="21"/>
              </w:rPr>
            </w:pPr>
            <w:r>
              <w:rPr>
                <w:rFonts w:hint="eastAsia" w:ascii="宋体" w:hAnsi="宋体"/>
                <w:bCs/>
                <w:szCs w:val="21"/>
              </w:rPr>
              <w:t>95</w:t>
            </w:r>
          </w:p>
        </w:tc>
        <w:tc>
          <w:tcPr>
            <w:tcW w:w="1405" w:type="dxa"/>
            <w:vAlign w:val="top"/>
          </w:tcPr>
          <w:p>
            <w:pPr>
              <w:jc w:val="center"/>
              <w:rPr>
                <w:rFonts w:hint="eastAsia" w:ascii="宋体" w:hAnsi="宋体"/>
                <w:bCs/>
                <w:szCs w:val="21"/>
              </w:rPr>
            </w:pPr>
            <w:r>
              <w:rPr>
                <w:rFonts w:hint="eastAsia" w:ascii="宋体" w:hAnsi="宋体"/>
                <w:bCs/>
                <w:szCs w:val="21"/>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6054" w:type="dxa"/>
            <w:tcMar>
              <w:left w:w="57" w:type="dxa"/>
              <w:right w:w="57" w:type="dxa"/>
            </w:tcMar>
            <w:vAlign w:val="center"/>
          </w:tcPr>
          <w:p>
            <w:pPr>
              <w:ind w:firstLine="420" w:firstLineChars="200"/>
              <w:jc w:val="left"/>
              <w:rPr>
                <w:rFonts w:hint="eastAsia" w:ascii="宋体" w:hAnsi="宋体"/>
                <w:bCs/>
                <w:szCs w:val="21"/>
              </w:rPr>
            </w:pPr>
            <w:r>
              <w:rPr>
                <w:rFonts w:hint="eastAsia" w:ascii="宋体" w:hAnsi="宋体"/>
                <w:bCs/>
                <w:szCs w:val="21"/>
              </w:rPr>
              <w:t>村庄环境整治达标率（%）</w:t>
            </w:r>
          </w:p>
        </w:tc>
        <w:tc>
          <w:tcPr>
            <w:tcW w:w="1174" w:type="dxa"/>
            <w:vAlign w:val="center"/>
          </w:tcPr>
          <w:p>
            <w:pPr>
              <w:jc w:val="center"/>
              <w:rPr>
                <w:rFonts w:hint="eastAsia" w:ascii="宋体" w:hAnsi="宋体"/>
                <w:bCs/>
                <w:szCs w:val="21"/>
              </w:rPr>
            </w:pPr>
            <w:r>
              <w:rPr>
                <w:rFonts w:hint="eastAsia" w:ascii="宋体" w:hAnsi="宋体"/>
                <w:bCs/>
                <w:szCs w:val="21"/>
              </w:rPr>
              <w:t>100</w:t>
            </w:r>
          </w:p>
        </w:tc>
        <w:tc>
          <w:tcPr>
            <w:tcW w:w="1405" w:type="dxa"/>
            <w:vAlign w:val="top"/>
          </w:tcPr>
          <w:p>
            <w:pPr>
              <w:jc w:val="center"/>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74" w:hRule="atLeast"/>
          <w:jc w:val="center"/>
        </w:trPr>
        <w:tc>
          <w:tcPr>
            <w:tcW w:w="8633" w:type="dxa"/>
            <w:gridSpan w:val="3"/>
            <w:tcMar>
              <w:left w:w="57" w:type="dxa"/>
              <w:right w:w="57" w:type="dxa"/>
            </w:tcMar>
            <w:vAlign w:val="center"/>
          </w:tcPr>
          <w:p>
            <w:pPr>
              <w:spacing w:line="240" w:lineRule="exact"/>
              <w:rPr>
                <w:rFonts w:hint="eastAsia" w:ascii="楷体_GB2312" w:hAnsi="宋体" w:eastAsia="楷体"/>
                <w:bCs/>
                <w:szCs w:val="21"/>
              </w:rPr>
            </w:pPr>
            <w:r>
              <w:rPr>
                <w:rFonts w:hint="eastAsia" w:ascii="楷体_GB2312" w:hAnsi="宋体" w:eastAsia="楷体"/>
                <w:bCs/>
                <w:szCs w:val="21"/>
              </w:rPr>
              <w:t>注：</w:t>
            </w:r>
          </w:p>
          <w:p>
            <w:pPr>
              <w:spacing w:line="240" w:lineRule="exact"/>
              <w:ind w:firstLine="210" w:firstLineChars="100"/>
              <w:rPr>
                <w:rFonts w:hint="eastAsia" w:ascii="楷体_GB2312" w:hAnsi="宋体" w:eastAsia="楷体"/>
                <w:bCs/>
                <w:szCs w:val="21"/>
              </w:rPr>
            </w:pPr>
            <w:r>
              <w:rPr>
                <w:rFonts w:hint="eastAsia" w:ascii="楷体_GB2312" w:hAnsi="宋体" w:eastAsia="楷体"/>
                <w:bCs/>
                <w:szCs w:val="21"/>
              </w:rPr>
              <w:fldChar w:fldCharType="begin"/>
            </w:r>
            <w:r>
              <w:rPr>
                <w:rFonts w:hint="eastAsia" w:ascii="楷体_GB2312" w:hAnsi="宋体" w:eastAsia="楷体"/>
                <w:bCs/>
                <w:szCs w:val="21"/>
              </w:rPr>
              <w:instrText xml:space="preserve"> = 1 \* GB3 </w:instrText>
            </w:r>
            <w:r>
              <w:rPr>
                <w:rFonts w:hint="eastAsia" w:ascii="楷体_GB2312" w:hAnsi="宋体" w:eastAsia="楷体"/>
                <w:bCs/>
                <w:szCs w:val="21"/>
              </w:rPr>
              <w:fldChar w:fldCharType="separate"/>
            </w:r>
            <w:r>
              <w:rPr>
                <w:rFonts w:hint="eastAsia" w:ascii="楷体_GB2312" w:hAnsi="宋体" w:eastAsia="楷体"/>
                <w:bCs/>
                <w:szCs w:val="21"/>
              </w:rPr>
              <w:t>①</w:t>
            </w:r>
            <w:r>
              <w:rPr>
                <w:rFonts w:hint="eastAsia" w:ascii="楷体_GB2312" w:hAnsi="宋体" w:eastAsia="楷体"/>
                <w:bCs/>
                <w:szCs w:val="21"/>
              </w:rPr>
              <w:fldChar w:fldCharType="end"/>
            </w:r>
            <w:r>
              <w:rPr>
                <w:rFonts w:hint="eastAsia" w:ascii="楷体_GB2312" w:hAnsi="宋体" w:eastAsia="楷体"/>
                <w:bCs/>
                <w:szCs w:val="21"/>
              </w:rPr>
              <w:t>城镇保障性住房：包括公租房（含廉租房）、政策性商品住房和棚户区改造安置住房等。</w:t>
            </w:r>
          </w:p>
          <w:p>
            <w:pPr>
              <w:spacing w:line="240" w:lineRule="exact"/>
              <w:ind w:firstLine="210" w:firstLineChars="100"/>
              <w:rPr>
                <w:rFonts w:hint="eastAsia" w:ascii="楷体_GB2312" w:hAnsi="宋体" w:eastAsia="楷体"/>
                <w:bCs/>
                <w:szCs w:val="21"/>
              </w:rPr>
            </w:pPr>
            <w:r>
              <w:rPr>
                <w:rFonts w:hint="eastAsia" w:ascii="楷体_GB2312" w:hAnsi="宋体" w:eastAsia="楷体"/>
                <w:bCs/>
                <w:szCs w:val="21"/>
              </w:rPr>
              <w:fldChar w:fldCharType="begin"/>
            </w:r>
            <w:r>
              <w:rPr>
                <w:rFonts w:hint="eastAsia" w:ascii="楷体_GB2312" w:hAnsi="宋体" w:eastAsia="楷体"/>
                <w:bCs/>
                <w:szCs w:val="21"/>
              </w:rPr>
              <w:instrText xml:space="preserve"> = 2 \* GB3 </w:instrText>
            </w:r>
            <w:r>
              <w:rPr>
                <w:rFonts w:hint="eastAsia" w:ascii="楷体_GB2312" w:hAnsi="宋体" w:eastAsia="楷体"/>
                <w:bCs/>
                <w:szCs w:val="21"/>
              </w:rPr>
              <w:fldChar w:fldCharType="separate"/>
            </w:r>
            <w:r>
              <w:rPr>
                <w:rFonts w:hint="eastAsia" w:ascii="楷体_GB2312" w:hAnsi="宋体" w:eastAsia="楷体"/>
                <w:bCs/>
                <w:szCs w:val="21"/>
              </w:rPr>
              <w:t>②</w:t>
            </w:r>
            <w:r>
              <w:rPr>
                <w:rFonts w:hint="eastAsia" w:ascii="楷体_GB2312" w:hAnsi="宋体" w:eastAsia="楷体"/>
                <w:bCs/>
                <w:szCs w:val="21"/>
              </w:rPr>
              <w:fldChar w:fldCharType="end"/>
            </w:r>
            <w:r>
              <w:rPr>
                <w:rFonts w:hint="eastAsia" w:ascii="楷体_GB2312" w:hAnsi="宋体" w:eastAsia="楷体"/>
                <w:bCs/>
                <w:szCs w:val="21"/>
              </w:rPr>
              <w:t>人均城市建设用地：国家《城市用地分类与规划建设用地标准》规定，人均城市建设用地标准为65-115平方米，新建城市为85.1-105平方米。全省到2020年人均城市建设用地控制在100平方米以内。</w:t>
            </w:r>
          </w:p>
          <w:p>
            <w:pPr>
              <w:spacing w:line="240" w:lineRule="exact"/>
              <w:ind w:firstLine="210" w:firstLineChars="100"/>
              <w:rPr>
                <w:rFonts w:hint="eastAsia" w:ascii="宋体" w:hAnsi="宋体"/>
                <w:bCs/>
                <w:szCs w:val="21"/>
              </w:rPr>
            </w:pPr>
            <w:r>
              <w:rPr>
                <w:rFonts w:hint="eastAsia" w:ascii="楷体_GB2312" w:hAnsi="宋体" w:eastAsia="楷体"/>
                <w:bCs/>
                <w:szCs w:val="21"/>
              </w:rPr>
              <w:fldChar w:fldCharType="begin"/>
            </w:r>
            <w:r>
              <w:rPr>
                <w:rFonts w:hint="eastAsia" w:ascii="楷体_GB2312" w:hAnsi="宋体" w:eastAsia="楷体"/>
                <w:bCs/>
                <w:szCs w:val="21"/>
              </w:rPr>
              <w:instrText xml:space="preserve"> = 3 \* GB3 </w:instrText>
            </w:r>
            <w:r>
              <w:rPr>
                <w:rFonts w:hint="eastAsia" w:ascii="楷体_GB2312" w:hAnsi="宋体" w:eastAsia="楷体"/>
                <w:bCs/>
                <w:szCs w:val="21"/>
              </w:rPr>
              <w:fldChar w:fldCharType="separate"/>
            </w:r>
            <w:r>
              <w:rPr>
                <w:rFonts w:hint="eastAsia" w:ascii="楷体_GB2312" w:hAnsi="宋体" w:eastAsia="楷体"/>
                <w:bCs/>
                <w:szCs w:val="21"/>
              </w:rPr>
              <w:t>③</w:t>
            </w:r>
            <w:r>
              <w:rPr>
                <w:rFonts w:hint="eastAsia" w:ascii="楷体_GB2312" w:hAnsi="宋体" w:eastAsia="楷体"/>
                <w:bCs/>
                <w:szCs w:val="21"/>
              </w:rPr>
              <w:fldChar w:fldCharType="end"/>
            </w:r>
            <w:r>
              <w:rPr>
                <w:rFonts w:hint="eastAsia" w:ascii="楷体_GB2312" w:hAnsi="宋体" w:eastAsia="楷体"/>
                <w:bCs/>
                <w:szCs w:val="21"/>
              </w:rPr>
              <w:t>城市空气质量国家标准：在1996年标准基础上，增设PM2.5浓度限值和臭氧8小时平均浓度限值，调整了PM10、二氧化氮、铅等浓度限值。</w:t>
            </w:r>
          </w:p>
        </w:tc>
      </w:tr>
    </w:tbl>
    <w:p>
      <w:pPr>
        <w:spacing w:line="53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城镇化水平稳步提升。到</w:t>
      </w:r>
      <w:r>
        <w:rPr>
          <w:rFonts w:ascii="宋体" w:hAnsi="宋体"/>
          <w:sz w:val="28"/>
          <w:szCs w:val="28"/>
        </w:rPr>
        <w:t>2020</w:t>
      </w:r>
      <w:r>
        <w:rPr>
          <w:rFonts w:hint="eastAsia" w:ascii="宋体" w:hAnsi="宋体"/>
          <w:sz w:val="28"/>
          <w:szCs w:val="28"/>
        </w:rPr>
        <w:t>年，赫山区城镇化率达到72</w:t>
      </w:r>
      <w:r>
        <w:rPr>
          <w:rFonts w:ascii="宋体" w:hAnsi="宋体"/>
          <w:sz w:val="28"/>
          <w:szCs w:val="28"/>
        </w:rPr>
        <w:t>%</w:t>
      </w:r>
      <w:r>
        <w:rPr>
          <w:rFonts w:hint="eastAsia" w:ascii="宋体" w:hAnsi="宋体"/>
          <w:sz w:val="28"/>
          <w:szCs w:val="28"/>
        </w:rPr>
        <w:t>以上，力争年均增长</w:t>
      </w:r>
      <w:r>
        <w:rPr>
          <w:rFonts w:ascii="宋体" w:hAnsi="宋体"/>
          <w:sz w:val="28"/>
          <w:szCs w:val="28"/>
        </w:rPr>
        <w:t>1</w:t>
      </w:r>
      <w:r>
        <w:rPr>
          <w:rFonts w:hint="eastAsia" w:ascii="宋体" w:hAnsi="宋体"/>
          <w:sz w:val="28"/>
          <w:szCs w:val="28"/>
        </w:rPr>
        <w:t>.4个百分点左右，户籍人口城镇化率达50%以上。</w:t>
      </w:r>
      <w:r>
        <w:rPr>
          <w:rFonts w:ascii="宋体" w:hAnsi="宋体"/>
          <w:sz w:val="28"/>
          <w:szCs w:val="28"/>
        </w:rPr>
        <w:t xml:space="preserve"> </w:t>
      </w:r>
    </w:p>
    <w:p>
      <w:pPr>
        <w:spacing w:line="53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城镇体系布局合理。赫山区要强化中心城区的核心引领功能，充分发展中心城区的辐射枢纽功能和各重点城镇的基础支撑功能，构建“一核三副多点，两轴两翼两带”的城镇体系空间结构。</w:t>
      </w:r>
    </w:p>
    <w:p>
      <w:pPr>
        <w:spacing w:line="53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绿色低碳的集约城镇化发展模式基本形成。赫山区开发强度控制在20.2%，人均城镇建设用地控制在110平方米以内。耕地得到严格保护，永久基本农田建设全面加强。节能产品和节能建筑广泛应用，可再生能源消费比例和资源能源利用效率稳步提高，大城市公共交通出行比例显著上升，“两型”社会经济生活模式成为主流。</w:t>
      </w:r>
    </w:p>
    <w:p>
      <w:pPr>
        <w:spacing w:line="524"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城镇综合承载力全面提升。到2020年，覆盖城乡、功能完善的基本公共服务体系基本建立，城镇常住人口基本养老、医疗保险覆盖率达98%以上，城镇住房保障体系覆盖率达25%以上，城乡最低生活保障标准力争完成并轨。城镇建成区绿化覆盖率达35%以上，中心城区和东部新区以及重点镇完成雨污分流改造，污水处理率达95%以上，生活垃圾无害化处理率达100%，中心城区空气质量优良天数占全年天数比例达到95%以上。积极建设成湖南省内海绵城市先行示范区。</w:t>
      </w:r>
    </w:p>
    <w:p>
      <w:pPr>
        <w:spacing w:line="524"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城镇化体制机制更加完善。首先，改变土地、户籍、社会保障等二元制度。其次，新型城镇化需要解决“宜居宜业”问题。再次，新型城镇化的关键是落实社会保障一体化。让社会保障成为一种普惠制、一体化的公共政策，构建适应赫山区情势的现代社会保障制度。</w:t>
      </w:r>
    </w:p>
    <w:p>
      <w:pPr>
        <w:tabs>
          <w:tab w:val="left" w:pos="3416"/>
        </w:tabs>
        <w:spacing w:before="156" w:beforeLines="50" w:after="156" w:afterLines="50" w:line="524" w:lineRule="exact"/>
        <w:ind w:right="25" w:rightChars="12" w:firstLine="560" w:firstLineChars="200"/>
        <w:rPr>
          <w:rFonts w:hint="eastAsia" w:ascii="黑体" w:hAnsi="仿宋" w:eastAsia="黑体"/>
          <w:sz w:val="28"/>
          <w:szCs w:val="28"/>
        </w:rPr>
      </w:pPr>
      <w:r>
        <w:rPr>
          <w:rFonts w:hint="eastAsia" w:ascii="黑体" w:hAnsi="仿宋" w:eastAsia="黑体"/>
          <w:sz w:val="28"/>
          <w:szCs w:val="28"/>
        </w:rPr>
        <w:t>六、实施路径</w:t>
      </w:r>
    </w:p>
    <w:p>
      <w:pPr>
        <w:spacing w:line="524" w:lineRule="exact"/>
        <w:ind w:firstLine="560" w:firstLineChars="200"/>
        <w:rPr>
          <w:rFonts w:hint="eastAsia" w:ascii="宋体" w:hAnsi="宋体"/>
          <w:sz w:val="28"/>
          <w:szCs w:val="28"/>
        </w:rPr>
      </w:pPr>
      <w:r>
        <w:rPr>
          <w:rFonts w:hint="eastAsia" w:ascii="宋体" w:hAnsi="宋体"/>
          <w:sz w:val="28"/>
          <w:szCs w:val="28"/>
        </w:rPr>
        <w:t>（一）优化城镇空间结构，推进新型城镇化发展</w:t>
      </w:r>
    </w:p>
    <w:p>
      <w:pPr>
        <w:spacing w:line="524" w:lineRule="exact"/>
        <w:ind w:firstLine="560" w:firstLineChars="200"/>
        <w:rPr>
          <w:rFonts w:hint="eastAsia" w:ascii="宋体" w:hAnsi="宋体"/>
          <w:sz w:val="28"/>
          <w:szCs w:val="28"/>
        </w:rPr>
      </w:pPr>
      <w:r>
        <w:rPr>
          <w:rFonts w:hint="eastAsia" w:ascii="宋体" w:hAnsi="宋体"/>
          <w:sz w:val="28"/>
          <w:szCs w:val="28"/>
        </w:rPr>
        <w:t>构建</w:t>
      </w:r>
      <w:r>
        <w:rPr>
          <w:rFonts w:ascii="宋体" w:hAnsi="宋体"/>
          <w:sz w:val="28"/>
          <w:szCs w:val="28"/>
        </w:rPr>
        <w:t>“</w:t>
      </w:r>
      <w:r>
        <w:rPr>
          <w:rFonts w:hint="eastAsia" w:ascii="宋体" w:hAnsi="宋体"/>
          <w:sz w:val="28"/>
          <w:szCs w:val="28"/>
        </w:rPr>
        <w:t>一体两翼，东进东接</w:t>
      </w:r>
      <w:r>
        <w:rPr>
          <w:rFonts w:ascii="宋体" w:hAnsi="宋体"/>
          <w:sz w:val="28"/>
          <w:szCs w:val="28"/>
        </w:rPr>
        <w:t>”</w:t>
      </w:r>
      <w:r>
        <w:rPr>
          <w:rFonts w:hint="eastAsia" w:ascii="宋体" w:hAnsi="宋体"/>
          <w:sz w:val="28"/>
          <w:szCs w:val="28"/>
        </w:rPr>
        <w:t>的空间格局。</w:t>
      </w:r>
      <w:r>
        <w:rPr>
          <w:rFonts w:ascii="宋体" w:hAnsi="宋体"/>
          <w:sz w:val="28"/>
          <w:szCs w:val="28"/>
        </w:rPr>
        <w:t>“</w:t>
      </w:r>
      <w:r>
        <w:rPr>
          <w:rFonts w:hint="eastAsia" w:ascii="宋体" w:hAnsi="宋体"/>
          <w:sz w:val="28"/>
          <w:szCs w:val="28"/>
        </w:rPr>
        <w:t>东进</w:t>
      </w:r>
      <w:r>
        <w:rPr>
          <w:rFonts w:ascii="宋体" w:hAnsi="宋体"/>
          <w:sz w:val="28"/>
          <w:szCs w:val="28"/>
        </w:rPr>
        <w:t>”</w:t>
      </w:r>
      <w:r>
        <w:rPr>
          <w:rFonts w:hint="eastAsia" w:ascii="宋体" w:hAnsi="宋体"/>
          <w:sz w:val="28"/>
          <w:szCs w:val="28"/>
        </w:rPr>
        <w:t>：向长沙方向发展，积极融入长株潭城市群和湘江新区建设发展战略；</w:t>
      </w:r>
      <w:r>
        <w:rPr>
          <w:rFonts w:ascii="宋体" w:hAnsi="宋体"/>
          <w:sz w:val="28"/>
          <w:szCs w:val="28"/>
        </w:rPr>
        <w:t>“</w:t>
      </w:r>
      <w:r>
        <w:rPr>
          <w:rFonts w:hint="eastAsia" w:ascii="宋体" w:hAnsi="宋体"/>
          <w:sz w:val="28"/>
          <w:szCs w:val="28"/>
        </w:rPr>
        <w:t>东接</w:t>
      </w:r>
      <w:r>
        <w:rPr>
          <w:rFonts w:ascii="宋体" w:hAnsi="宋体"/>
          <w:sz w:val="28"/>
          <w:szCs w:val="28"/>
        </w:rPr>
        <w:t>”</w:t>
      </w:r>
      <w:r>
        <w:rPr>
          <w:rFonts w:hint="eastAsia" w:ascii="宋体" w:hAnsi="宋体"/>
          <w:sz w:val="28"/>
          <w:szCs w:val="28"/>
        </w:rPr>
        <w:t>：实施</w:t>
      </w:r>
      <w:r>
        <w:rPr>
          <w:rFonts w:ascii="宋体" w:hAnsi="宋体"/>
          <w:sz w:val="28"/>
          <w:szCs w:val="28"/>
        </w:rPr>
        <w:t>“</w:t>
      </w:r>
      <w:r>
        <w:rPr>
          <w:rFonts w:hint="eastAsia" w:ascii="宋体" w:hAnsi="宋体"/>
          <w:sz w:val="28"/>
          <w:szCs w:val="28"/>
        </w:rPr>
        <w:t>借船出海</w:t>
      </w:r>
      <w:r>
        <w:rPr>
          <w:rFonts w:ascii="宋体" w:hAnsi="宋体"/>
          <w:sz w:val="28"/>
          <w:szCs w:val="28"/>
        </w:rPr>
        <w:t>”</w:t>
      </w:r>
      <w:r>
        <w:rPr>
          <w:rFonts w:hint="eastAsia" w:ascii="宋体" w:hAnsi="宋体"/>
          <w:sz w:val="28"/>
          <w:szCs w:val="28"/>
        </w:rPr>
        <w:t>、</w:t>
      </w:r>
      <w:r>
        <w:rPr>
          <w:rFonts w:ascii="宋体" w:hAnsi="宋体"/>
          <w:sz w:val="28"/>
          <w:szCs w:val="28"/>
        </w:rPr>
        <w:t>“</w:t>
      </w:r>
      <w:r>
        <w:rPr>
          <w:rFonts w:hint="eastAsia" w:ascii="宋体" w:hAnsi="宋体"/>
          <w:sz w:val="28"/>
          <w:szCs w:val="28"/>
        </w:rPr>
        <w:t>借江出海</w:t>
      </w:r>
      <w:r>
        <w:rPr>
          <w:rFonts w:ascii="宋体" w:hAnsi="宋体"/>
          <w:sz w:val="28"/>
          <w:szCs w:val="28"/>
        </w:rPr>
        <w:t>”</w:t>
      </w:r>
      <w:r>
        <w:rPr>
          <w:rFonts w:hint="eastAsia" w:ascii="宋体" w:hAnsi="宋体"/>
          <w:sz w:val="28"/>
          <w:szCs w:val="28"/>
        </w:rPr>
        <w:t>战略，积极融入洞庭湖经济区和长江经济带国家战略格局。</w:t>
      </w:r>
      <w:r>
        <w:rPr>
          <w:rFonts w:ascii="宋体" w:hAnsi="宋体"/>
          <w:sz w:val="28"/>
          <w:szCs w:val="28"/>
        </w:rPr>
        <w:t xml:space="preserve"> </w:t>
      </w:r>
    </w:p>
    <w:p>
      <w:pPr>
        <w:spacing w:line="524" w:lineRule="exact"/>
        <w:ind w:firstLine="560" w:firstLineChars="200"/>
        <w:rPr>
          <w:rFonts w:ascii="宋体" w:hAnsi="宋体"/>
          <w:sz w:val="28"/>
          <w:szCs w:val="28"/>
        </w:rPr>
      </w:pPr>
      <w:r>
        <w:rPr>
          <w:rFonts w:hint="eastAsia" w:ascii="宋体" w:hAnsi="宋体"/>
          <w:sz w:val="28"/>
          <w:szCs w:val="28"/>
        </w:rPr>
        <w:t>城镇体系布局合理，构建“一核三副多点、两轴两翼两带”的城镇体系空间结构。</w:t>
      </w:r>
    </w:p>
    <w:p>
      <w:pPr>
        <w:tabs>
          <w:tab w:val="left" w:pos="3416"/>
        </w:tabs>
        <w:spacing w:line="524" w:lineRule="exact"/>
        <w:ind w:right="25" w:rightChars="12" w:firstLine="560" w:firstLineChars="200"/>
        <w:rPr>
          <w:rFonts w:ascii="宋体" w:hAnsi="宋体"/>
          <w:sz w:val="28"/>
          <w:szCs w:val="28"/>
        </w:rPr>
      </w:pPr>
      <w:r>
        <w:rPr>
          <w:rFonts w:hint="eastAsia" w:ascii="宋体" w:hAnsi="宋体"/>
          <w:sz w:val="28"/>
          <w:szCs w:val="28"/>
        </w:rPr>
        <w:t>一核：以赫山区中心城区为主核心；</w:t>
      </w:r>
      <w:r>
        <w:rPr>
          <w:rFonts w:ascii="宋体" w:hAnsi="宋体"/>
          <w:sz w:val="28"/>
          <w:szCs w:val="28"/>
        </w:rPr>
        <w:t xml:space="preserve"> </w:t>
      </w:r>
    </w:p>
    <w:p>
      <w:pPr>
        <w:tabs>
          <w:tab w:val="left" w:pos="3416"/>
        </w:tabs>
        <w:spacing w:line="524" w:lineRule="exact"/>
        <w:ind w:right="25" w:rightChars="12" w:firstLine="560" w:firstLineChars="200"/>
        <w:rPr>
          <w:rFonts w:hint="eastAsia" w:ascii="宋体" w:hAnsi="宋体"/>
          <w:sz w:val="28"/>
          <w:szCs w:val="28"/>
        </w:rPr>
      </w:pPr>
      <w:r>
        <w:rPr>
          <w:rFonts w:hint="eastAsia" w:ascii="宋体" w:hAnsi="宋体"/>
          <w:sz w:val="28"/>
          <w:szCs w:val="28"/>
        </w:rPr>
        <w:t>三副：一是沧水浦镇，构筑鱼形山两型卫星城</w:t>
      </w:r>
      <w:r>
        <w:rPr>
          <w:rFonts w:ascii="宋体" w:hAnsi="宋体"/>
          <w:sz w:val="28"/>
          <w:szCs w:val="28"/>
        </w:rPr>
        <w:t>+</w:t>
      </w:r>
      <w:r>
        <w:rPr>
          <w:rFonts w:hint="eastAsia" w:ascii="宋体" w:hAnsi="宋体"/>
          <w:sz w:val="28"/>
          <w:szCs w:val="28"/>
        </w:rPr>
        <w:t>沧水浦镇区，打造益阳东部新区的中心；二是衡龙桥镇，打造衡龙新区，构建益阳对接长株潭的桥头堡。三是依托兰溪镇，依托全国新型城镇化试点乡镇的建设，打造粮食产业园。</w:t>
      </w:r>
    </w:p>
    <w:p>
      <w:pPr>
        <w:tabs>
          <w:tab w:val="left" w:pos="3416"/>
        </w:tabs>
        <w:spacing w:line="524" w:lineRule="exact"/>
        <w:ind w:right="25" w:rightChars="12" w:firstLine="560" w:firstLineChars="200"/>
        <w:rPr>
          <w:rFonts w:ascii="宋体" w:hAnsi="宋体"/>
          <w:sz w:val="28"/>
          <w:szCs w:val="28"/>
        </w:rPr>
      </w:pPr>
      <w:r>
        <w:rPr>
          <w:rFonts w:hint="eastAsia" w:ascii="宋体" w:hAnsi="宋体"/>
          <w:sz w:val="28"/>
          <w:szCs w:val="28"/>
        </w:rPr>
        <w:t>多点：是指泥江口、泉交河两个重点镇和其他乡镇节点。</w:t>
      </w:r>
    </w:p>
    <w:p>
      <w:pPr>
        <w:tabs>
          <w:tab w:val="left" w:pos="3416"/>
        </w:tabs>
        <w:spacing w:line="524" w:lineRule="exact"/>
        <w:ind w:right="25" w:rightChars="12" w:firstLine="560" w:firstLineChars="200"/>
        <w:rPr>
          <w:rFonts w:hint="eastAsia" w:ascii="宋体" w:hAnsi="宋体"/>
          <w:sz w:val="28"/>
          <w:szCs w:val="28"/>
        </w:rPr>
      </w:pPr>
      <w:r>
        <w:rPr>
          <w:rFonts w:hint="eastAsia" w:ascii="宋体" w:hAnsi="宋体"/>
          <w:sz w:val="28"/>
          <w:szCs w:val="28"/>
        </w:rPr>
        <w:t>两轴：依托</w:t>
      </w:r>
      <w:r>
        <w:rPr>
          <w:rFonts w:ascii="宋体" w:hAnsi="宋体"/>
          <w:sz w:val="28"/>
          <w:szCs w:val="28"/>
        </w:rPr>
        <w:t>319</w:t>
      </w:r>
      <w:r>
        <w:rPr>
          <w:rFonts w:hint="eastAsia" w:ascii="宋体" w:hAnsi="宋体"/>
          <w:sz w:val="28"/>
          <w:szCs w:val="28"/>
        </w:rPr>
        <w:t>国道，重点建设龙光桥、沧水铺和衡龙桥等次要增长核心，带动发展泉交河、岳家桥等城镇，构建益宁（</w:t>
      </w:r>
      <w:r>
        <w:rPr>
          <w:rFonts w:ascii="宋体" w:hAnsi="宋体"/>
          <w:sz w:val="28"/>
          <w:szCs w:val="28"/>
        </w:rPr>
        <w:t>G319</w:t>
      </w:r>
      <w:r>
        <w:rPr>
          <w:rFonts w:hint="eastAsia" w:ascii="宋体" w:hAnsi="宋体"/>
          <w:sz w:val="28"/>
          <w:szCs w:val="28"/>
        </w:rPr>
        <w:t>）城镇发展主轴。依托</w:t>
      </w:r>
      <w:r>
        <w:rPr>
          <w:rFonts w:ascii="宋体" w:hAnsi="宋体"/>
          <w:sz w:val="28"/>
          <w:szCs w:val="28"/>
        </w:rPr>
        <w:t>308</w:t>
      </w:r>
      <w:r>
        <w:rPr>
          <w:rFonts w:hint="eastAsia" w:ascii="宋体" w:hAnsi="宋体"/>
          <w:sz w:val="28"/>
          <w:szCs w:val="28"/>
        </w:rPr>
        <w:t>省道，重点发展兰溪镇、八字哨镇等城镇，构建兰溪大道（</w:t>
      </w:r>
      <w:r>
        <w:rPr>
          <w:rFonts w:ascii="宋体" w:hAnsi="宋体"/>
          <w:sz w:val="28"/>
          <w:szCs w:val="28"/>
        </w:rPr>
        <w:t>S308</w:t>
      </w:r>
      <w:r>
        <w:rPr>
          <w:rFonts w:hint="eastAsia" w:ascii="宋体" w:hAnsi="宋体"/>
          <w:sz w:val="28"/>
          <w:szCs w:val="28"/>
        </w:rPr>
        <w:t>）城镇发展主轴</w:t>
      </w:r>
    </w:p>
    <w:p>
      <w:pPr>
        <w:tabs>
          <w:tab w:val="left" w:pos="3416"/>
        </w:tabs>
        <w:spacing w:line="530" w:lineRule="exact"/>
        <w:ind w:right="25" w:rightChars="12" w:firstLine="560" w:firstLineChars="200"/>
        <w:rPr>
          <w:rFonts w:ascii="宋体" w:hAnsi="宋体"/>
          <w:sz w:val="28"/>
          <w:szCs w:val="28"/>
        </w:rPr>
      </w:pPr>
      <w:r>
        <w:rPr>
          <w:rFonts w:hint="eastAsia" w:ascii="宋体" w:hAnsi="宋体"/>
          <w:sz w:val="28"/>
          <w:szCs w:val="28"/>
        </w:rPr>
        <w:t>两翼：东部湖区翼是指赫山区东部南洞庭湖平原湿地与农业生态保护区的范围，内有凤凰湖、来仪湖、白濒湖、苦竹湖等大面积水面，主要依托新河沿线，促进东北沿线城镇间的相互合作，发展欧江岔、泉交河、笔架山等城镇，构建东翼湖区城镇发展次轴。西部山区翼是指赫山区西部环洞庭湖丘陵农业生态培育区，西翼范围内山地众多，生态环境良好，内有所谓“南岳七十二峰之一”的碧云峰、四方山、寨子仑、鱼形山，主要依托志溪河沿线，发展会龙山、新市渡、龙光桥、泥江口片区，构建西翼山区城镇发展次轴。</w:t>
      </w:r>
      <w:r>
        <w:rPr>
          <w:rFonts w:ascii="宋体" w:hAnsi="宋体"/>
          <w:sz w:val="28"/>
          <w:szCs w:val="28"/>
        </w:rPr>
        <w:t xml:space="preserve"> </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两带：主要是沿新河宁朱城镇发展带、和沿益灰线城镇发展带。</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中心城区在规模扩张与内涵充实的基础上，大力推进棚户区改造，有序推进危旧住房改造工程，完善基础设施，全面改善人居环境，提高中心城区竞争力。</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（二）坚持以人为本，突出“人”的城镇化。</w:t>
      </w:r>
    </w:p>
    <w:p>
      <w:pPr>
        <w:tabs>
          <w:tab w:val="left" w:pos="3416"/>
        </w:tabs>
        <w:spacing w:line="530" w:lineRule="exact"/>
        <w:ind w:right="25" w:rightChars="12" w:firstLine="560" w:firstLineChars="200"/>
        <w:rPr>
          <w:rFonts w:hint="eastAsia" w:ascii="宋体" w:hAnsi="宋体"/>
          <w:sz w:val="28"/>
          <w:szCs w:val="28"/>
        </w:rPr>
      </w:pPr>
      <w:r>
        <w:rPr>
          <w:rFonts w:ascii="宋体" w:hAnsi="宋体"/>
          <w:sz w:val="28"/>
          <w:szCs w:val="28"/>
        </w:rPr>
        <w:t>优化城镇人口结构</w:t>
      </w:r>
      <w:r>
        <w:rPr>
          <w:rFonts w:hint="eastAsia" w:ascii="宋体" w:hAnsi="宋体"/>
          <w:sz w:val="28"/>
          <w:szCs w:val="28"/>
        </w:rPr>
        <w:t>，解决城乡二元结构，充分尊重农民的主体地位和意愿。</w:t>
      </w:r>
      <w:r>
        <w:rPr>
          <w:rFonts w:ascii="宋体" w:hAnsi="宋体"/>
          <w:sz w:val="28"/>
          <w:szCs w:val="28"/>
        </w:rPr>
        <w:t>推进农村剩余劳动力落户城镇</w:t>
      </w:r>
      <w:r>
        <w:rPr>
          <w:rFonts w:hint="eastAsia" w:ascii="宋体" w:hAnsi="宋体"/>
          <w:sz w:val="28"/>
          <w:szCs w:val="28"/>
        </w:rPr>
        <w:t>，科学推进农村土地流转。</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积极发展以旅游业为主导的第三产业，包括碧云峰生态休闲区</w:t>
      </w:r>
      <w:r>
        <w:rPr>
          <w:rFonts w:ascii="宋体" w:hAnsi="宋体"/>
          <w:sz w:val="28"/>
          <w:szCs w:val="28"/>
        </w:rPr>
        <w:t xml:space="preserve"> </w:t>
      </w:r>
      <w:r>
        <w:rPr>
          <w:rFonts w:hint="eastAsia" w:ascii="宋体" w:hAnsi="宋体"/>
          <w:sz w:val="28"/>
          <w:szCs w:val="28"/>
        </w:rPr>
        <w:t>、黑茶文化城、来仪湖国家湿地公园</w:t>
      </w:r>
      <w:r>
        <w:rPr>
          <w:rFonts w:ascii="宋体" w:hAnsi="宋体"/>
          <w:sz w:val="28"/>
          <w:szCs w:val="28"/>
        </w:rPr>
        <w:t xml:space="preserve"> </w:t>
      </w:r>
      <w:r>
        <w:rPr>
          <w:rFonts w:hint="eastAsia" w:ascii="宋体" w:hAnsi="宋体"/>
          <w:sz w:val="28"/>
          <w:szCs w:val="28"/>
        </w:rPr>
        <w:t>、沿G319绿色经济走廊</w:t>
      </w:r>
      <w:r>
        <w:rPr>
          <w:rFonts w:ascii="宋体" w:hAnsi="宋体"/>
          <w:sz w:val="28"/>
          <w:szCs w:val="28"/>
        </w:rPr>
        <w:t xml:space="preserve"> </w:t>
      </w:r>
      <w:r>
        <w:rPr>
          <w:rFonts w:hint="eastAsia" w:ascii="宋体" w:hAnsi="宋体"/>
          <w:sz w:val="28"/>
          <w:szCs w:val="28"/>
        </w:rPr>
        <w:t>。</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规划赫山区</w:t>
      </w:r>
      <w:r>
        <w:rPr>
          <w:rFonts w:ascii="宋体" w:hAnsi="宋体"/>
          <w:sz w:val="28"/>
          <w:szCs w:val="28"/>
        </w:rPr>
        <w:t>5</w:t>
      </w:r>
      <w:r>
        <w:rPr>
          <w:rFonts w:hint="eastAsia" w:ascii="宋体" w:hAnsi="宋体"/>
          <w:sz w:val="28"/>
          <w:szCs w:val="28"/>
        </w:rPr>
        <w:t>个重点镇中，兰溪、沧水铺和衡龙桥</w:t>
      </w:r>
      <w:r>
        <w:rPr>
          <w:rFonts w:ascii="宋体" w:hAnsi="宋体"/>
          <w:sz w:val="28"/>
          <w:szCs w:val="28"/>
        </w:rPr>
        <w:t>3</w:t>
      </w:r>
      <w:r>
        <w:rPr>
          <w:rFonts w:hint="eastAsia" w:ascii="宋体" w:hAnsi="宋体"/>
          <w:sz w:val="28"/>
          <w:szCs w:val="28"/>
        </w:rPr>
        <w:t>个要创建成全国重点镇、泉交河和泥江口</w:t>
      </w:r>
      <w:r>
        <w:rPr>
          <w:rFonts w:ascii="宋体" w:hAnsi="宋体"/>
          <w:sz w:val="28"/>
          <w:szCs w:val="28"/>
        </w:rPr>
        <w:t>2</w:t>
      </w:r>
      <w:r>
        <w:rPr>
          <w:rFonts w:hint="eastAsia" w:ascii="宋体" w:hAnsi="宋体"/>
          <w:sz w:val="28"/>
          <w:szCs w:val="28"/>
        </w:rPr>
        <w:t>个创建成省级特色镇。</w:t>
      </w:r>
    </w:p>
    <w:p>
      <w:pPr>
        <w:tabs>
          <w:tab w:val="left" w:pos="3416"/>
        </w:tabs>
        <w:spacing w:line="530" w:lineRule="exact"/>
        <w:ind w:right="25" w:rightChars="12" w:firstLine="560" w:firstLineChars="200"/>
        <w:rPr>
          <w:rFonts w:ascii="宋体" w:hAnsi="宋体"/>
          <w:sz w:val="28"/>
          <w:szCs w:val="28"/>
        </w:rPr>
      </w:pPr>
      <w:r>
        <w:rPr>
          <w:rFonts w:hint="eastAsia" w:ascii="宋体" w:hAnsi="宋体"/>
          <w:sz w:val="28"/>
          <w:szCs w:val="28"/>
        </w:rPr>
        <w:t>（三）形成</w:t>
      </w:r>
      <w:r>
        <w:rPr>
          <w:rFonts w:ascii="宋体" w:hAnsi="宋体"/>
          <w:sz w:val="28"/>
          <w:szCs w:val="28"/>
        </w:rPr>
        <w:t>“</w:t>
      </w:r>
      <w:r>
        <w:rPr>
          <w:rFonts w:hint="eastAsia" w:ascii="宋体" w:hAnsi="宋体"/>
          <w:sz w:val="28"/>
          <w:szCs w:val="28"/>
        </w:rPr>
        <w:t>五纵三横两环多通道</w:t>
      </w:r>
      <w:r>
        <w:rPr>
          <w:rFonts w:ascii="宋体" w:hAnsi="宋体"/>
          <w:sz w:val="28"/>
          <w:szCs w:val="28"/>
        </w:rPr>
        <w:t>”</w:t>
      </w:r>
      <w:r>
        <w:rPr>
          <w:rFonts w:hint="eastAsia" w:ascii="宋体" w:hAnsi="宋体"/>
          <w:sz w:val="28"/>
          <w:szCs w:val="28"/>
        </w:rPr>
        <w:t>的交通架构，统筹推进公路、铁路、水运、城市公共交通与城乡交通运输场站建设。</w:t>
      </w:r>
    </w:p>
    <w:p>
      <w:pPr>
        <w:tabs>
          <w:tab w:val="left" w:pos="3416"/>
        </w:tabs>
        <w:spacing w:line="530" w:lineRule="exact"/>
        <w:ind w:right="25" w:rightChars="12" w:firstLine="560" w:firstLineChars="200"/>
        <w:rPr>
          <w:rFonts w:ascii="宋体" w:hAnsi="宋体"/>
          <w:sz w:val="28"/>
          <w:szCs w:val="28"/>
        </w:rPr>
      </w:pPr>
      <w:r>
        <w:rPr>
          <w:rFonts w:hint="eastAsia" w:ascii="宋体" w:hAnsi="宋体"/>
          <w:sz w:val="28"/>
          <w:szCs w:val="28"/>
        </w:rPr>
        <w:t>五纵：包括</w:t>
      </w:r>
      <w:r>
        <w:rPr>
          <w:rFonts w:ascii="宋体" w:hAnsi="宋体"/>
          <w:sz w:val="28"/>
          <w:szCs w:val="28"/>
        </w:rPr>
        <w:t>G319</w:t>
      </w:r>
      <w:r>
        <w:rPr>
          <w:rFonts w:hint="eastAsia" w:ascii="宋体" w:hAnsi="宋体"/>
          <w:sz w:val="28"/>
          <w:szCs w:val="28"/>
        </w:rPr>
        <w:t>线、银城大道、长益高速（包括复线）、来仪湖大道（规划建设中）、</w:t>
      </w:r>
      <w:r>
        <w:rPr>
          <w:rFonts w:ascii="宋体" w:hAnsi="宋体"/>
          <w:sz w:val="28"/>
          <w:szCs w:val="28"/>
        </w:rPr>
        <w:t>G234(</w:t>
      </w:r>
      <w:r>
        <w:rPr>
          <w:rFonts w:hint="eastAsia" w:ascii="宋体" w:hAnsi="宋体"/>
          <w:sz w:val="28"/>
          <w:szCs w:val="28"/>
        </w:rPr>
        <w:t>中心城区</w:t>
      </w:r>
      <w:r>
        <w:rPr>
          <w:rFonts w:ascii="宋体" w:hAnsi="宋体"/>
          <w:sz w:val="28"/>
          <w:szCs w:val="28"/>
        </w:rPr>
        <w:t>—</w:t>
      </w:r>
      <w:r>
        <w:rPr>
          <w:rFonts w:hint="eastAsia" w:ascii="宋体" w:hAnsi="宋体"/>
          <w:sz w:val="28"/>
          <w:szCs w:val="28"/>
        </w:rPr>
        <w:t>新市渡</w:t>
      </w:r>
      <w:r>
        <w:rPr>
          <w:rFonts w:ascii="宋体" w:hAnsi="宋体"/>
          <w:sz w:val="28"/>
          <w:szCs w:val="28"/>
        </w:rPr>
        <w:t>—</w:t>
      </w:r>
      <w:r>
        <w:rPr>
          <w:rFonts w:hint="eastAsia" w:ascii="宋体" w:hAnsi="宋体"/>
          <w:sz w:val="28"/>
          <w:szCs w:val="28"/>
        </w:rPr>
        <w:t>泥江口</w:t>
      </w:r>
      <w:r>
        <w:rPr>
          <w:rFonts w:ascii="宋体" w:hAnsi="宋体"/>
          <w:sz w:val="28"/>
          <w:szCs w:val="28"/>
        </w:rPr>
        <w:t>)</w:t>
      </w:r>
      <w:r>
        <w:rPr>
          <w:rFonts w:hint="eastAsia" w:ascii="宋体" w:hAnsi="宋体"/>
          <w:sz w:val="28"/>
          <w:szCs w:val="28"/>
        </w:rPr>
        <w:t>。</w:t>
      </w:r>
    </w:p>
    <w:p>
      <w:pPr>
        <w:tabs>
          <w:tab w:val="left" w:pos="3416"/>
        </w:tabs>
        <w:spacing w:line="530" w:lineRule="exact"/>
        <w:ind w:right="25" w:rightChars="12" w:firstLine="560" w:firstLineChars="200"/>
        <w:rPr>
          <w:rFonts w:ascii="宋体" w:hAnsi="宋体"/>
          <w:sz w:val="28"/>
          <w:szCs w:val="28"/>
        </w:rPr>
      </w:pPr>
      <w:r>
        <w:rPr>
          <w:rFonts w:hint="eastAsia" w:ascii="宋体" w:hAnsi="宋体"/>
          <w:sz w:val="28"/>
          <w:szCs w:val="28"/>
        </w:rPr>
        <w:t>三横：</w:t>
      </w:r>
      <w:r>
        <w:rPr>
          <w:rFonts w:ascii="宋体" w:hAnsi="宋体"/>
          <w:sz w:val="28"/>
          <w:szCs w:val="28"/>
        </w:rPr>
        <w:t xml:space="preserve"> G536</w:t>
      </w:r>
      <w:r>
        <w:rPr>
          <w:rFonts w:hint="eastAsia" w:ascii="宋体" w:hAnsi="宋体"/>
          <w:sz w:val="28"/>
          <w:szCs w:val="28"/>
        </w:rPr>
        <w:t>（原</w:t>
      </w:r>
      <w:r>
        <w:rPr>
          <w:rFonts w:ascii="宋体" w:hAnsi="宋体"/>
          <w:sz w:val="28"/>
          <w:szCs w:val="28"/>
        </w:rPr>
        <w:t>S308</w:t>
      </w:r>
      <w:r>
        <w:rPr>
          <w:rFonts w:hint="eastAsia" w:ascii="宋体" w:hAnsi="宋体"/>
          <w:sz w:val="28"/>
          <w:szCs w:val="28"/>
        </w:rPr>
        <w:t>），宁朱线</w:t>
      </w:r>
      <w:r>
        <w:rPr>
          <w:rFonts w:ascii="宋体" w:hAnsi="宋体"/>
          <w:sz w:val="28"/>
          <w:szCs w:val="28"/>
        </w:rPr>
        <w:t>—</w:t>
      </w:r>
      <w:r>
        <w:rPr>
          <w:rFonts w:hint="eastAsia" w:ascii="宋体" w:hAnsi="宋体"/>
          <w:sz w:val="28"/>
          <w:szCs w:val="28"/>
        </w:rPr>
        <w:t>泉泥线（</w:t>
      </w:r>
      <w:r>
        <w:rPr>
          <w:rFonts w:ascii="宋体" w:hAnsi="宋体"/>
          <w:sz w:val="28"/>
          <w:szCs w:val="28"/>
        </w:rPr>
        <w:t>S324</w:t>
      </w:r>
      <w:r>
        <w:rPr>
          <w:rFonts w:hint="eastAsia" w:ascii="宋体" w:hAnsi="宋体"/>
          <w:sz w:val="28"/>
          <w:szCs w:val="28"/>
        </w:rPr>
        <w:t>），欧牌线</w:t>
      </w:r>
      <w:r>
        <w:rPr>
          <w:rFonts w:ascii="宋体" w:hAnsi="宋体"/>
          <w:sz w:val="28"/>
          <w:szCs w:val="28"/>
        </w:rPr>
        <w:t>—</w:t>
      </w:r>
      <w:r>
        <w:rPr>
          <w:rFonts w:hint="eastAsia" w:ascii="宋体" w:hAnsi="宋体"/>
          <w:sz w:val="28"/>
          <w:szCs w:val="28"/>
        </w:rPr>
        <w:t>衡鸾线。</w:t>
      </w:r>
    </w:p>
    <w:p>
      <w:pPr>
        <w:tabs>
          <w:tab w:val="left" w:pos="3416"/>
        </w:tabs>
        <w:spacing w:line="530" w:lineRule="exact"/>
        <w:ind w:right="25" w:rightChars="12" w:firstLine="560" w:firstLineChars="200"/>
        <w:rPr>
          <w:rFonts w:ascii="宋体" w:hAnsi="宋体"/>
          <w:sz w:val="28"/>
          <w:szCs w:val="28"/>
        </w:rPr>
      </w:pPr>
      <w:r>
        <w:rPr>
          <w:rFonts w:hint="eastAsia" w:ascii="宋体" w:hAnsi="宋体"/>
          <w:sz w:val="28"/>
          <w:szCs w:val="28"/>
        </w:rPr>
        <w:t>两环：分别是指由绕城高速组成的“内环”，由兰溪大道（</w:t>
      </w:r>
      <w:r>
        <w:rPr>
          <w:rFonts w:ascii="宋体" w:hAnsi="宋体"/>
          <w:sz w:val="28"/>
          <w:szCs w:val="28"/>
        </w:rPr>
        <w:t>G536</w:t>
      </w:r>
      <w:r>
        <w:rPr>
          <w:rFonts w:hint="eastAsia" w:ascii="宋体" w:hAnsi="宋体"/>
          <w:sz w:val="28"/>
          <w:szCs w:val="28"/>
        </w:rPr>
        <w:t>）</w:t>
      </w:r>
      <w:r>
        <w:rPr>
          <w:rFonts w:ascii="宋体" w:hAnsi="宋体"/>
          <w:sz w:val="28"/>
          <w:szCs w:val="28"/>
        </w:rPr>
        <w:t>—</w:t>
      </w:r>
      <w:r>
        <w:rPr>
          <w:rFonts w:hint="eastAsia" w:ascii="宋体" w:hAnsi="宋体"/>
          <w:sz w:val="28"/>
          <w:szCs w:val="28"/>
        </w:rPr>
        <w:t>来仪湖大道</w:t>
      </w:r>
      <w:r>
        <w:rPr>
          <w:rFonts w:ascii="宋体" w:hAnsi="宋体"/>
          <w:sz w:val="28"/>
          <w:szCs w:val="28"/>
        </w:rPr>
        <w:t>—</w:t>
      </w:r>
      <w:r>
        <w:rPr>
          <w:rFonts w:hint="eastAsia" w:ascii="宋体" w:hAnsi="宋体"/>
          <w:sz w:val="28"/>
          <w:szCs w:val="28"/>
        </w:rPr>
        <w:t>新河大道（宁朱线）—</w:t>
      </w:r>
      <w:r>
        <w:rPr>
          <w:rFonts w:ascii="宋体" w:hAnsi="宋体"/>
          <w:sz w:val="28"/>
          <w:szCs w:val="28"/>
        </w:rPr>
        <w:t>G319—</w:t>
      </w:r>
      <w:r>
        <w:rPr>
          <w:rFonts w:hint="eastAsia" w:ascii="宋体" w:hAnsi="宋体"/>
          <w:sz w:val="28"/>
          <w:szCs w:val="28"/>
        </w:rPr>
        <w:t>泉泥线</w:t>
      </w:r>
      <w:r>
        <w:rPr>
          <w:rFonts w:ascii="宋体" w:hAnsi="宋体"/>
          <w:sz w:val="28"/>
          <w:szCs w:val="28"/>
        </w:rPr>
        <w:t>—G234</w:t>
      </w:r>
      <w:r>
        <w:rPr>
          <w:rFonts w:hint="eastAsia" w:ascii="宋体" w:hAnsi="宋体"/>
          <w:sz w:val="28"/>
          <w:szCs w:val="28"/>
        </w:rPr>
        <w:t>组成的“外环”。通过两环的建设带动赫山区区内乡镇连接线、乡村旅游公路建设，通过来仪湖大道建设推动环湖交通基础设施建设，构建赫山对内大循环交通体系。</w:t>
      </w:r>
    </w:p>
    <w:p>
      <w:pPr>
        <w:tabs>
          <w:tab w:val="left" w:pos="3416"/>
        </w:tabs>
        <w:spacing w:line="530" w:lineRule="exact"/>
        <w:ind w:right="25" w:rightChars="12" w:firstLine="560" w:firstLineChars="200"/>
        <w:rPr>
          <w:rFonts w:ascii="宋体" w:hAnsi="宋体"/>
          <w:sz w:val="28"/>
          <w:szCs w:val="28"/>
        </w:rPr>
      </w:pPr>
      <w:r>
        <w:rPr>
          <w:rFonts w:hint="eastAsia" w:ascii="宋体" w:hAnsi="宋体"/>
          <w:sz w:val="28"/>
          <w:szCs w:val="28"/>
        </w:rPr>
        <w:t>多通道：包括资江水道、益娄高速和洛湛铁路通道、益马和平益高速通道、欧牌线通道、来仪湖大道和新河大道通道等联系区际的水陆通道，连同“五纵三横”构建起赫山对外开放交通大格局。</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改善资江通航能力，改扩建泥湾千吨级码头、李家洲煤码头（铁水联运物流园）。在水运交通上对接长江经济带和长江中游城市群的建设发展。</w:t>
      </w:r>
    </w:p>
    <w:p>
      <w:pPr>
        <w:tabs>
          <w:tab w:val="left" w:pos="3416"/>
        </w:tabs>
        <w:spacing w:line="530" w:lineRule="exact"/>
        <w:ind w:right="25" w:rightChars="12" w:firstLine="560" w:firstLineChars="200"/>
        <w:rPr>
          <w:rFonts w:ascii="宋体" w:hAnsi="宋体"/>
          <w:sz w:val="28"/>
          <w:szCs w:val="28"/>
        </w:rPr>
      </w:pPr>
      <w:r>
        <w:rPr>
          <w:rFonts w:hint="eastAsia" w:ascii="宋体" w:hAnsi="宋体"/>
          <w:sz w:val="28"/>
          <w:szCs w:val="28"/>
        </w:rPr>
        <w:t>（四）推动产城融合战略，中心城区以机械、电子、化工、建材、纺织、陶瓷、食品等产业为主，东部新区以加工包装产业、塑编工业、机械制造、花卉苗木、建材产业、休闲旅游产业为主。</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其他乡镇发展粮油种植、黑茶、水果蔬菜、养殖、花卉苗木等产业。</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（五）产业经济结构转型，注重四化同步，提供动力支持，包括新型工业化推动、</w:t>
      </w:r>
      <w:r>
        <w:rPr>
          <w:rFonts w:ascii="宋体" w:hAnsi="宋体"/>
          <w:sz w:val="28"/>
          <w:szCs w:val="28"/>
        </w:rPr>
        <w:t>服务业驱动</w:t>
      </w:r>
      <w:r>
        <w:rPr>
          <w:rFonts w:hint="eastAsia" w:ascii="宋体" w:hAnsi="宋体"/>
          <w:sz w:val="28"/>
          <w:szCs w:val="28"/>
        </w:rPr>
        <w:t>、信息化、</w:t>
      </w:r>
      <w:r>
        <w:rPr>
          <w:rFonts w:ascii="宋体" w:hAnsi="宋体"/>
          <w:sz w:val="28"/>
          <w:szCs w:val="28"/>
        </w:rPr>
        <w:t>农业现代化</w:t>
      </w:r>
      <w:r>
        <w:rPr>
          <w:rFonts w:hint="eastAsia" w:ascii="宋体" w:hAnsi="宋体"/>
          <w:sz w:val="28"/>
          <w:szCs w:val="28"/>
        </w:rPr>
        <w:t>联动。</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赫山区探索</w:t>
      </w:r>
      <w:r>
        <w:rPr>
          <w:rFonts w:ascii="宋体" w:hAnsi="宋体"/>
          <w:sz w:val="28"/>
          <w:szCs w:val="28"/>
        </w:rPr>
        <w:t>“</w:t>
      </w:r>
      <w:r>
        <w:rPr>
          <w:rFonts w:hint="eastAsia" w:ascii="宋体" w:hAnsi="宋体"/>
          <w:sz w:val="28"/>
          <w:szCs w:val="28"/>
        </w:rPr>
        <w:t>一区多园</w:t>
      </w:r>
      <w:r>
        <w:rPr>
          <w:rFonts w:ascii="宋体" w:hAnsi="宋体"/>
          <w:sz w:val="28"/>
          <w:szCs w:val="28"/>
        </w:rPr>
        <w:t>”</w:t>
      </w:r>
      <w:r>
        <w:rPr>
          <w:rFonts w:hint="eastAsia" w:ascii="宋体" w:hAnsi="宋体"/>
          <w:sz w:val="28"/>
          <w:szCs w:val="28"/>
        </w:rPr>
        <w:t>新模式，完善</w:t>
      </w:r>
      <w:r>
        <w:rPr>
          <w:rFonts w:ascii="宋体" w:hAnsi="宋体"/>
          <w:sz w:val="28"/>
          <w:szCs w:val="28"/>
        </w:rPr>
        <w:t>“</w:t>
      </w:r>
      <w:r>
        <w:rPr>
          <w:rFonts w:hint="eastAsia" w:ascii="宋体" w:hAnsi="宋体"/>
          <w:sz w:val="28"/>
          <w:szCs w:val="28"/>
        </w:rPr>
        <w:t>镇园合一</w:t>
      </w:r>
      <w:r>
        <w:rPr>
          <w:rFonts w:ascii="宋体" w:hAnsi="宋体"/>
          <w:sz w:val="28"/>
          <w:szCs w:val="28"/>
        </w:rPr>
        <w:t>”</w:t>
      </w:r>
      <w:r>
        <w:rPr>
          <w:rFonts w:hint="eastAsia" w:ascii="宋体" w:hAnsi="宋体"/>
          <w:sz w:val="28"/>
          <w:szCs w:val="28"/>
        </w:rPr>
        <w:t>建设模式，形成以银城大道为工业经济走廊，龙岭工业园为龙头，以沧水铺包装工业园、衡龙新区、泉交河龙泉工业小区、兰溪粮食产业园、新市渡铸造工业园为支撑的</w:t>
      </w:r>
      <w:r>
        <w:rPr>
          <w:rFonts w:ascii="宋体" w:hAnsi="宋体"/>
          <w:sz w:val="28"/>
          <w:szCs w:val="28"/>
        </w:rPr>
        <w:t>“</w:t>
      </w:r>
      <w:r>
        <w:rPr>
          <w:rFonts w:hint="eastAsia" w:ascii="宋体" w:hAnsi="宋体"/>
          <w:sz w:val="28"/>
          <w:szCs w:val="28"/>
        </w:rPr>
        <w:t>一廊一园带多区</w:t>
      </w:r>
      <w:r>
        <w:rPr>
          <w:rFonts w:ascii="宋体" w:hAnsi="宋体"/>
          <w:sz w:val="28"/>
          <w:szCs w:val="28"/>
        </w:rPr>
        <w:t>”</w:t>
      </w:r>
      <w:r>
        <w:rPr>
          <w:rFonts w:hint="eastAsia" w:ascii="宋体" w:hAnsi="宋体"/>
          <w:sz w:val="28"/>
          <w:szCs w:val="28"/>
        </w:rPr>
        <w:t>的产业格局。</w:t>
      </w:r>
    </w:p>
    <w:p>
      <w:pPr>
        <w:tabs>
          <w:tab w:val="left" w:pos="3416"/>
        </w:tabs>
        <w:spacing w:line="530" w:lineRule="exact"/>
        <w:ind w:right="25" w:rightChars="12" w:firstLine="560" w:firstLineChars="200"/>
        <w:rPr>
          <w:rFonts w:hint="eastAsia" w:ascii="宋体" w:hAnsi="宋体"/>
          <w:sz w:val="28"/>
          <w:szCs w:val="28"/>
        </w:rPr>
      </w:pPr>
      <w:r>
        <w:rPr>
          <w:rFonts w:hint="eastAsia" w:ascii="宋体" w:hAnsi="宋体"/>
          <w:sz w:val="28"/>
          <w:szCs w:val="28"/>
        </w:rPr>
        <w:t>（六）体现生态宜居，实现绿色城镇化，既要建设现代化的城市，也要看得见青山绿水记得住乡愁，全区各乡镇建设美丽乡村先行试点24个，至2020年全面建成美丽乡村48个，</w:t>
      </w:r>
      <w:r>
        <w:rPr>
          <w:rFonts w:ascii="宋体" w:hAnsi="宋体"/>
          <w:sz w:val="28"/>
          <w:szCs w:val="28"/>
        </w:rPr>
        <w:t>90 %</w:t>
      </w:r>
      <w:r>
        <w:rPr>
          <w:rFonts w:hint="eastAsia" w:ascii="宋体" w:hAnsi="宋体"/>
          <w:sz w:val="28"/>
          <w:szCs w:val="28"/>
        </w:rPr>
        <w:t>的行政村生活垃圾得到处理，水泥公路组组通达。</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大黑简体">
    <w:panose1 w:val="02010601030101010101"/>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3422E"/>
    <w:rsid w:val="2ED3422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2016-10-27T03:52:00Z</dcterms:created>
  <dc:creator>Administrator</dc:creator>
  <cp:lastModifiedBy>Administrator</cp:lastModifiedBy>
  <dcterms:modified xsi:type="dcterms:W3CDTF">2016-10-27T03:53:32Z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