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val="0"/>
        <w:snapToGrid w:val="0"/>
        <w:spacing w:after="0" w:line="600" w:lineRule="exact"/>
        <w:ind w:left="-15" w:leftChars="-7" w:right="0" w:firstLine="19" w:firstLineChars="6"/>
        <w:textAlignment w:val="auto"/>
        <w:outlineLvl w:val="9"/>
        <w:rPr>
          <w:rFonts w:hint="eastAsia" w:ascii="黑体" w:hAnsi="黑体" w:eastAsia="黑体"/>
          <w:bCs/>
          <w:spacing w:val="0"/>
          <w:sz w:val="32"/>
          <w:szCs w:val="32"/>
        </w:rPr>
      </w:pPr>
      <w:r>
        <w:rPr>
          <w:rFonts w:ascii="黑体" w:hAnsi="黑体" w:eastAsia="黑体"/>
          <w:bCs/>
          <w:spacing w:val="0"/>
          <w:sz w:val="32"/>
          <w:szCs w:val="32"/>
        </w:rPr>
        <w:t>HSDR</w:t>
      </w:r>
      <w:r>
        <w:rPr>
          <w:rFonts w:hint="eastAsia" w:ascii="黑体" w:hAnsi="黑体" w:eastAsia="黑体"/>
          <w:bCs/>
          <w:spacing w:val="0"/>
          <w:sz w:val="32"/>
          <w:szCs w:val="32"/>
        </w:rPr>
        <w:t>－</w:t>
      </w:r>
      <w:r>
        <w:rPr>
          <w:rFonts w:ascii="黑体" w:hAnsi="黑体" w:eastAsia="黑体"/>
          <w:bCs/>
          <w:spacing w:val="0"/>
          <w:sz w:val="32"/>
          <w:szCs w:val="32"/>
        </w:rPr>
        <w:t>2017</w:t>
      </w:r>
      <w:r>
        <w:rPr>
          <w:rFonts w:hint="eastAsia" w:ascii="黑体" w:hAnsi="黑体" w:eastAsia="黑体"/>
          <w:bCs/>
          <w:spacing w:val="0"/>
          <w:sz w:val="32"/>
          <w:szCs w:val="32"/>
        </w:rPr>
        <w:t>－</w:t>
      </w:r>
      <w:r>
        <w:rPr>
          <w:rFonts w:ascii="黑体" w:hAnsi="黑体" w:eastAsia="黑体"/>
          <w:bCs/>
          <w:spacing w:val="0"/>
          <w:sz w:val="32"/>
          <w:szCs w:val="32"/>
        </w:rPr>
        <w:t>000</w:t>
      </w:r>
      <w:r>
        <w:rPr>
          <w:rFonts w:hint="eastAsia" w:ascii="黑体" w:hAnsi="黑体" w:eastAsia="黑体"/>
          <w:bCs/>
          <w:spacing w:val="0"/>
          <w:sz w:val="32"/>
          <w:szCs w:val="32"/>
          <w:lang w:val="en-US" w:eastAsia="zh-CN"/>
        </w:rPr>
        <w:t>16</w:t>
      </w:r>
    </w:p>
    <w:p>
      <w:pPr>
        <w:widowControl/>
        <w:wordWrap/>
        <w:adjustRightInd w:val="0"/>
        <w:snapToGrid w:val="0"/>
        <w:spacing w:after="0" w:line="36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400" w:lineRule="exact"/>
        <w:ind w:left="-15" w:leftChars="-7" w:right="0" w:firstLine="13" w:firstLineChars="6"/>
        <w:jc w:val="center"/>
        <w:textAlignment w:val="auto"/>
        <w:outlineLvl w:val="9"/>
        <w:rPr>
          <w:bCs/>
          <w:spacing w:val="0"/>
        </w:rPr>
      </w:pPr>
    </w:p>
    <w:p>
      <w:pPr>
        <w:widowControl/>
        <w:wordWrap/>
        <w:adjustRightInd w:val="0"/>
        <w:snapToGrid w:val="0"/>
        <w:spacing w:after="0" w:line="600" w:lineRule="exact"/>
        <w:ind w:right="0"/>
        <w:textAlignment w:val="auto"/>
        <w:outlineLvl w:val="9"/>
        <w:rPr>
          <w:bCs/>
          <w:spacing w:val="0"/>
        </w:rPr>
      </w:pPr>
    </w:p>
    <w:p>
      <w:pPr>
        <w:widowControl/>
        <w:wordWrap/>
        <w:adjustRightInd w:val="0"/>
        <w:snapToGrid w:val="0"/>
        <w:spacing w:line="200" w:lineRule="exact"/>
        <w:ind w:left="0" w:leftChars="0" w:right="0" w:firstLine="0" w:firstLineChars="0"/>
        <w:jc w:val="left"/>
        <w:textAlignment w:val="auto"/>
        <w:outlineLvl w:val="9"/>
        <w:rPr>
          <w:bCs/>
          <w:spacing w:val="0"/>
        </w:rPr>
      </w:pPr>
    </w:p>
    <w:p>
      <w:pPr>
        <w:widowControl/>
        <w:wordWrap/>
        <w:adjustRightInd w:val="0"/>
        <w:snapToGrid w:val="0"/>
        <w:spacing w:after="0" w:line="640" w:lineRule="exact"/>
        <w:ind w:left="-15" w:leftChars="-7" w:right="0" w:firstLine="19" w:firstLineChars="6"/>
        <w:jc w:val="center"/>
        <w:textAlignment w:val="auto"/>
        <w:outlineLvl w:val="9"/>
        <w:rPr>
          <w:rFonts w:ascii="仿宋" w:hAnsi="仿宋" w:eastAsia="仿宋"/>
          <w:bCs/>
          <w:spacing w:val="0"/>
          <w:sz w:val="32"/>
          <w:szCs w:val="32"/>
        </w:rPr>
      </w:pPr>
      <w:r>
        <w:rPr>
          <w:rFonts w:hint="eastAsia" w:ascii="仿宋" w:hAnsi="仿宋" w:eastAsia="仿宋"/>
          <w:bCs/>
          <w:spacing w:val="0"/>
          <w:sz w:val="32"/>
          <w:szCs w:val="32"/>
        </w:rPr>
        <w:t>益赫政发</w:t>
      </w:r>
      <w:r>
        <w:rPr>
          <w:rFonts w:hint="eastAsia" w:ascii="仿宋_GB2312" w:hAnsi="仿宋" w:eastAsia="仿宋_GB2312"/>
          <w:bCs/>
          <w:spacing w:val="0"/>
          <w:sz w:val="32"/>
          <w:szCs w:val="32"/>
        </w:rPr>
        <w:t>〔</w:t>
      </w:r>
      <w:r>
        <w:rPr>
          <w:rFonts w:ascii="仿宋" w:hAnsi="仿宋" w:eastAsia="仿宋"/>
          <w:bCs/>
          <w:spacing w:val="0"/>
          <w:sz w:val="32"/>
          <w:szCs w:val="32"/>
        </w:rPr>
        <w:t>2017</w:t>
      </w:r>
      <w:r>
        <w:rPr>
          <w:rFonts w:hint="eastAsia" w:ascii="仿宋_GB2312" w:hAnsi="仿宋" w:eastAsia="仿宋_GB2312"/>
          <w:bCs/>
          <w:spacing w:val="0"/>
          <w:sz w:val="32"/>
          <w:szCs w:val="32"/>
        </w:rPr>
        <w:t>〕</w:t>
      </w:r>
      <w:r>
        <w:rPr>
          <w:rFonts w:hint="eastAsia" w:ascii="仿宋" w:hAnsi="仿宋" w:eastAsia="仿宋"/>
          <w:bCs/>
          <w:spacing w:val="0"/>
          <w:sz w:val="32"/>
          <w:szCs w:val="32"/>
          <w:lang w:val="en-US" w:eastAsia="zh-CN"/>
        </w:rPr>
        <w:t>23</w:t>
      </w:r>
      <w:r>
        <w:rPr>
          <w:rFonts w:hint="eastAsia" w:ascii="仿宋" w:hAnsi="仿宋" w:eastAsia="仿宋"/>
          <w:bCs/>
          <w:spacing w:val="0"/>
          <w:sz w:val="32"/>
          <w:szCs w:val="32"/>
        </w:rPr>
        <w:t>号</w:t>
      </w:r>
    </w:p>
    <w:p>
      <w:pPr>
        <w:widowControl/>
        <w:wordWrap/>
        <w:adjustRightInd w:val="0"/>
        <w:snapToGrid w:val="0"/>
        <w:spacing w:after="0" w:line="1000" w:lineRule="exact"/>
        <w:ind w:right="0" w:firstLine="643"/>
        <w:textAlignment w:val="auto"/>
        <w:outlineLvl w:val="9"/>
        <w:rPr>
          <w:rFonts w:ascii="仿宋" w:hAnsi="仿宋" w:eastAsia="仿宋"/>
          <w:b/>
          <w:bCs/>
          <w:spacing w:val="0"/>
          <w:sz w:val="32"/>
          <w:szCs w:val="32"/>
        </w:rPr>
      </w:pPr>
    </w:p>
    <w:p>
      <w:pPr>
        <w:widowControl w:val="0"/>
        <w:wordWrap/>
        <w:adjustRightInd/>
        <w:snapToGrid/>
        <w:spacing w:line="640" w:lineRule="exact"/>
        <w:ind w:left="0" w:leftChars="0" w:right="0" w:firstLine="0" w:firstLineChars="0"/>
        <w:jc w:val="center"/>
        <w:textAlignment w:val="auto"/>
        <w:outlineLvl w:val="9"/>
        <w:rPr>
          <w:rFonts w:ascii="方正小标宋简体" w:hAnsi="方正小标宋简体" w:eastAsia="方正小标宋简体" w:cs="方正小标宋简体"/>
          <w:bCs/>
          <w:spacing w:val="0"/>
          <w:sz w:val="44"/>
          <w:szCs w:val="44"/>
        </w:rPr>
      </w:pPr>
      <w:r>
        <w:rPr>
          <w:rFonts w:hint="eastAsia" w:ascii="方正小标宋简体" w:hAnsi="方正小标宋简体" w:eastAsia="方正小标宋简体" w:cs="方正小标宋简体"/>
          <w:bCs/>
          <w:spacing w:val="0"/>
          <w:sz w:val="44"/>
          <w:szCs w:val="44"/>
        </w:rPr>
        <w:t>益阳市赫山区人民政府</w:t>
      </w:r>
    </w:p>
    <w:p>
      <w:pPr>
        <w:widowControl w:val="0"/>
        <w:wordWrap/>
        <w:adjustRightInd/>
        <w:snapToGrid/>
        <w:spacing w:line="640" w:lineRule="exact"/>
        <w:ind w:left="0" w:leftChars="0" w:right="0" w:firstLine="0" w:firstLineChars="0"/>
        <w:jc w:val="center"/>
        <w:textAlignment w:val="auto"/>
        <w:outlineLvl w:val="9"/>
        <w:rPr>
          <w:rFonts w:ascii="方正小标宋简体" w:hAnsi="方正小标宋简体" w:eastAsia="方正小标宋简体" w:cs="方正小标宋简体"/>
          <w:bCs/>
          <w:color w:val="FF0000"/>
          <w:spacing w:val="0"/>
          <w:sz w:val="44"/>
          <w:szCs w:val="44"/>
        </w:rPr>
      </w:pPr>
      <w:r>
        <w:rPr>
          <w:rFonts w:hint="eastAsia" w:ascii="方正小标宋简体" w:hAnsi="方正小标宋简体" w:eastAsia="方正小标宋简体" w:cs="方正小标宋简体"/>
          <w:bCs/>
          <w:spacing w:val="0"/>
          <w:sz w:val="44"/>
          <w:szCs w:val="44"/>
        </w:rPr>
        <w:t>关于促进现代服务业发</w:t>
      </w:r>
      <w:bookmarkStart w:id="3" w:name="_GoBack"/>
      <w:bookmarkEnd w:id="3"/>
      <w:r>
        <w:rPr>
          <w:rFonts w:hint="eastAsia" w:ascii="方正小标宋简体" w:hAnsi="方正小标宋简体" w:eastAsia="方正小标宋简体" w:cs="方正小标宋简体"/>
          <w:bCs/>
          <w:spacing w:val="0"/>
          <w:sz w:val="44"/>
          <w:szCs w:val="44"/>
        </w:rPr>
        <w:t>展的实施意见</w:t>
      </w:r>
    </w:p>
    <w:p>
      <w:pPr>
        <w:spacing w:line="600" w:lineRule="exact"/>
        <w:ind w:firstLine="640" w:firstLineChars="200"/>
        <w:rPr>
          <w:rFonts w:ascii="仿宋" w:hAnsi="仿宋" w:eastAsia="仿宋"/>
          <w:spacing w:val="0"/>
          <w:sz w:val="32"/>
          <w:szCs w:val="32"/>
        </w:rPr>
      </w:pP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为</w:t>
      </w:r>
      <w:r>
        <w:rPr>
          <w:rFonts w:hint="eastAsia" w:ascii="仿宋" w:hAnsi="仿宋" w:eastAsia="仿宋"/>
          <w:spacing w:val="0"/>
          <w:sz w:val="32"/>
          <w:szCs w:val="32"/>
        </w:rPr>
        <w:t>着力补齐第三产业发展短板，推进现代服务业持续健康快速发展，</w:t>
      </w:r>
      <w:r>
        <w:rPr>
          <w:rFonts w:hint="eastAsia" w:ascii="仿宋" w:hAnsi="仿宋" w:eastAsia="仿宋"/>
          <w:spacing w:val="0"/>
          <w:sz w:val="32"/>
          <w:szCs w:val="32"/>
        </w:rPr>
        <w:t>进</w:t>
      </w:r>
      <w:r>
        <w:rPr>
          <w:rFonts w:hint="eastAsia" w:ascii="仿宋" w:hAnsi="仿宋" w:eastAsia="仿宋"/>
          <w:spacing w:val="0"/>
          <w:sz w:val="32"/>
          <w:szCs w:val="32"/>
        </w:rPr>
        <w:t>一步优化产业结构、提高发展水平，结合我区实际，特提出如下意见。</w:t>
      </w:r>
    </w:p>
    <w:p>
      <w:pPr>
        <w:widowControl w:val="0"/>
        <w:wordWrap/>
        <w:adjustRightInd/>
        <w:snapToGrid/>
        <w:spacing w:line="630" w:lineRule="exact"/>
        <w:ind w:left="0" w:leftChars="0" w:right="0" w:firstLine="640" w:firstLineChars="200"/>
        <w:textAlignment w:val="auto"/>
        <w:outlineLvl w:val="9"/>
        <w:rPr>
          <w:rFonts w:ascii="黑体" w:hAnsi="黑体" w:eastAsia="黑体"/>
          <w:bCs/>
          <w:spacing w:val="0"/>
          <w:sz w:val="32"/>
          <w:szCs w:val="32"/>
        </w:rPr>
      </w:pPr>
      <w:r>
        <w:rPr>
          <w:rFonts w:ascii="黑体" w:hAnsi="黑体" w:eastAsia="黑体"/>
          <w:bCs/>
          <w:spacing w:val="0"/>
          <w:sz w:val="32"/>
          <w:szCs w:val="32"/>
        </w:rPr>
        <w:t>一</w:t>
      </w:r>
      <w:r>
        <w:rPr>
          <w:rFonts w:hint="eastAsia" w:ascii="黑体" w:hAnsi="黑体" w:eastAsia="黑体"/>
          <w:bCs/>
          <w:spacing w:val="0"/>
          <w:sz w:val="32"/>
          <w:szCs w:val="32"/>
        </w:rPr>
        <w:t>、</w:t>
      </w:r>
      <w:r>
        <w:rPr>
          <w:rFonts w:ascii="黑体" w:hAnsi="黑体" w:eastAsia="黑体"/>
          <w:bCs/>
          <w:spacing w:val="0"/>
          <w:sz w:val="32"/>
          <w:szCs w:val="32"/>
        </w:rPr>
        <w:t>促进现代服务业重点</w:t>
      </w:r>
      <w:r>
        <w:rPr>
          <w:rFonts w:hint="eastAsia" w:ascii="黑体" w:hAnsi="黑体" w:eastAsia="黑体"/>
          <w:bCs/>
          <w:spacing w:val="0"/>
          <w:sz w:val="32"/>
          <w:szCs w:val="32"/>
        </w:rPr>
        <w:t>行</w:t>
      </w:r>
      <w:r>
        <w:rPr>
          <w:rFonts w:ascii="黑体" w:hAnsi="黑体" w:eastAsia="黑体"/>
          <w:bCs/>
          <w:spacing w:val="0"/>
          <w:sz w:val="32"/>
          <w:szCs w:val="32"/>
        </w:rPr>
        <w:t>业加快发展</w:t>
      </w:r>
    </w:p>
    <w:p>
      <w:pPr>
        <w:widowControl w:val="0"/>
        <w:wordWrap/>
        <w:adjustRightInd/>
        <w:snapToGrid/>
        <w:spacing w:line="630" w:lineRule="exact"/>
        <w:ind w:left="0" w:leftChars="0" w:right="0" w:firstLine="640" w:firstLineChars="200"/>
        <w:textAlignment w:val="auto"/>
        <w:outlineLvl w:val="9"/>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（一）住宿餐饮服务业</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1</w:t>
      </w:r>
      <w:r>
        <w:rPr>
          <w:rFonts w:ascii="仿宋" w:hAnsi="仿宋" w:eastAsia="仿宋" w:cs="楷体_GB2312"/>
          <w:b/>
          <w:spacing w:val="0"/>
          <w:sz w:val="32"/>
          <w:szCs w:val="32"/>
        </w:rPr>
        <w:t>.</w:t>
      </w:r>
      <w:r>
        <w:rPr>
          <w:rFonts w:hint="eastAsia" w:ascii="仿宋" w:hAnsi="仿宋" w:eastAsia="仿宋" w:cs="楷体_GB2312"/>
          <w:b/>
          <w:spacing w:val="0"/>
          <w:sz w:val="32"/>
          <w:szCs w:val="32"/>
        </w:rPr>
        <w:t>扶持入驻企业。</w:t>
      </w:r>
      <w:r>
        <w:rPr>
          <w:rFonts w:hint="eastAsia" w:ascii="仿宋" w:hAnsi="仿宋" w:eastAsia="仿宋"/>
          <w:spacing w:val="0"/>
          <w:sz w:val="32"/>
          <w:szCs w:val="32"/>
        </w:rPr>
        <w:t>知名酒店（四星级以上）、餐饮企业入驻，入驻次年</w:t>
      </w:r>
      <w:r>
        <w:rPr>
          <w:rFonts w:hint="eastAsia" w:ascii="仿宋" w:hAnsi="仿宋" w:eastAsia="仿宋"/>
          <w:spacing w:val="0"/>
          <w:sz w:val="32"/>
          <w:szCs w:val="32"/>
          <w:lang w:val="en-US" w:eastAsia="zh-CN"/>
        </w:rPr>
        <w:t>形成</w:t>
      </w:r>
      <w:r>
        <w:rPr>
          <w:rFonts w:hint="eastAsia" w:ascii="仿宋" w:hAnsi="仿宋" w:eastAsia="仿宋"/>
          <w:spacing w:val="0"/>
          <w:sz w:val="32"/>
          <w:szCs w:val="32"/>
        </w:rPr>
        <w:t>区级财力30万元以上，并逐年实现递增的，连续三年分别按其</w:t>
      </w:r>
      <w:r>
        <w:rPr>
          <w:rFonts w:hint="eastAsia" w:ascii="仿宋" w:hAnsi="仿宋" w:eastAsia="仿宋"/>
          <w:spacing w:val="0"/>
          <w:sz w:val="32"/>
          <w:szCs w:val="32"/>
          <w:lang w:val="en-US" w:eastAsia="zh-CN"/>
        </w:rPr>
        <w:t>形成</w:t>
      </w:r>
      <w:r>
        <w:rPr>
          <w:rFonts w:hint="eastAsia" w:ascii="仿宋" w:hAnsi="仿宋" w:eastAsia="仿宋"/>
          <w:spacing w:val="0"/>
          <w:sz w:val="32"/>
          <w:szCs w:val="32"/>
        </w:rPr>
        <w:t>区级财力的50%、40%、30%给予扶持奖励。</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2</w:t>
      </w:r>
      <w:r>
        <w:rPr>
          <w:rFonts w:ascii="仿宋" w:hAnsi="仿宋" w:eastAsia="仿宋" w:cs="楷体_GB2312"/>
          <w:b/>
          <w:spacing w:val="0"/>
          <w:sz w:val="32"/>
          <w:szCs w:val="32"/>
        </w:rPr>
        <w:t>.</w:t>
      </w:r>
      <w:r>
        <w:rPr>
          <w:rFonts w:hint="eastAsia" w:ascii="仿宋" w:hAnsi="仿宋" w:eastAsia="仿宋" w:cs="楷体_GB2312"/>
          <w:b/>
          <w:spacing w:val="0"/>
          <w:sz w:val="32"/>
          <w:szCs w:val="32"/>
        </w:rPr>
        <w:t>打造行业品牌。</w:t>
      </w:r>
      <w:r>
        <w:rPr>
          <w:rFonts w:hint="eastAsia" w:ascii="仿宋" w:hAnsi="仿宋" w:eastAsia="仿宋"/>
          <w:spacing w:val="0"/>
          <w:sz w:val="32"/>
          <w:szCs w:val="32"/>
        </w:rPr>
        <w:t>积极引导企业增强品牌意识，争创中华老字号、星级酒店、星级农家乐（乡村酒店），争创湖南及中国名店、名师、名菜、名宴、名点。</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（1）经国家旅游星级评定机构评定，首次被评定为五星级、四星级、三星级酒店且获得星级证书和标志牌的，分别一次性奖励50万元、30万元、20万元。</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2）首次被认定为国家级品牌产品并获得证书的，一次性奖励5万元；首次被认定为省级品牌产品并获得证书的，一次性奖励3万元。复评中再次被评定为国家级、省级品牌，并获得相应证书的，分别一次性奖励1万元和0.5万元。</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（3）在中心城区集聚发展“美食一条街”，打造美食名片。开展赫山名菜、美味赫山等美食评比活动，对获奖优秀餐饮企业予以表彰奖励。</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ascii="仿宋" w:hAnsi="仿宋" w:eastAsia="仿宋" w:cs="楷体_GB2312"/>
          <w:b/>
          <w:spacing w:val="0"/>
          <w:sz w:val="32"/>
          <w:szCs w:val="32"/>
        </w:rPr>
        <w:t>3.</w:t>
      </w:r>
      <w:r>
        <w:rPr>
          <w:rFonts w:hint="eastAsia" w:ascii="仿宋" w:hAnsi="仿宋" w:eastAsia="仿宋" w:cs="楷体_GB2312"/>
          <w:b/>
          <w:spacing w:val="0"/>
          <w:sz w:val="32"/>
          <w:szCs w:val="32"/>
        </w:rPr>
        <w:t>鼓励创新发展。</w:t>
      </w:r>
      <w:r>
        <w:rPr>
          <w:rFonts w:hint="eastAsia" w:ascii="仿宋" w:hAnsi="仿宋" w:eastAsia="仿宋"/>
          <w:spacing w:val="0"/>
          <w:sz w:val="32"/>
          <w:szCs w:val="32"/>
        </w:rPr>
        <w:t>引导企业拓展新思路、探索新模式，支持或组织、引导企业举办“互联网+”大会，采取推广先进案例、产品展演、客户互动体验、投融资项目路演等形式，鼓励、引导企业开发“互联网+酒店”“互联网+餐饮”等经营新模式。</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ascii="仿宋" w:hAnsi="仿宋" w:eastAsia="仿宋" w:cs="楷体_GB2312"/>
          <w:b/>
          <w:spacing w:val="0"/>
          <w:sz w:val="32"/>
          <w:szCs w:val="32"/>
        </w:rPr>
        <w:t>4.</w:t>
      </w:r>
      <w:r>
        <w:rPr>
          <w:rFonts w:hint="eastAsia" w:ascii="仿宋" w:hAnsi="仿宋" w:eastAsia="仿宋" w:cs="楷体_GB2312"/>
          <w:b/>
          <w:spacing w:val="0"/>
          <w:sz w:val="32"/>
          <w:szCs w:val="32"/>
          <w:lang w:val="en-US" w:eastAsia="zh-CN"/>
        </w:rPr>
        <w:t>降低运营成本</w:t>
      </w:r>
      <w:r>
        <w:rPr>
          <w:rFonts w:hint="eastAsia" w:ascii="仿宋" w:hAnsi="仿宋" w:eastAsia="仿宋" w:cs="楷体_GB2312"/>
          <w:b/>
          <w:spacing w:val="0"/>
          <w:sz w:val="32"/>
          <w:szCs w:val="32"/>
        </w:rPr>
        <w:t>。</w:t>
      </w:r>
      <w:r>
        <w:rPr>
          <w:rFonts w:hint="eastAsia" w:ascii="仿宋" w:hAnsi="仿宋" w:eastAsia="仿宋"/>
          <w:spacing w:val="0"/>
          <w:sz w:val="32"/>
          <w:szCs w:val="32"/>
        </w:rPr>
        <w:t>对按四星级以上酒店标准建设的酒店项目，享受市级重点工程各项优惠政策。对星级宾馆、酒店在用水、用电、用气价格等方面享受规定的有关优惠政策。星级宾馆、酒店排放污染物达到国家或地方标准，并已进入城市污水处理管网的，在缴纳污水处理费后免征排污费。三星级以上（含三星级）宾馆、酒店使用有线或无线电视网络，全额缴纳开户费用的，其收视费按正常标准的70%缴纳。三星级以下宾馆、酒店的收视费由网络传输公司与宾馆、酒店协商确定。</w:t>
      </w:r>
    </w:p>
    <w:p>
      <w:pPr>
        <w:widowControl w:val="0"/>
        <w:wordWrap/>
        <w:adjustRightInd/>
        <w:snapToGrid/>
        <w:spacing w:line="630" w:lineRule="exact"/>
        <w:ind w:left="0" w:leftChars="0" w:right="0" w:firstLine="640" w:firstLineChars="200"/>
        <w:textAlignment w:val="auto"/>
        <w:outlineLvl w:val="9"/>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（二）文化体育娱乐及旅游休闲服务业</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1</w:t>
      </w:r>
      <w:r>
        <w:rPr>
          <w:rFonts w:ascii="仿宋" w:hAnsi="仿宋" w:eastAsia="仿宋" w:cs="楷体_GB2312"/>
          <w:b/>
          <w:spacing w:val="0"/>
          <w:sz w:val="32"/>
          <w:szCs w:val="32"/>
        </w:rPr>
        <w:t>.</w:t>
      </w:r>
      <w:r>
        <w:rPr>
          <w:rFonts w:hint="eastAsia" w:ascii="仿宋" w:hAnsi="仿宋" w:eastAsia="仿宋" w:cs="楷体_GB2312"/>
          <w:b/>
          <w:spacing w:val="0"/>
          <w:sz w:val="32"/>
          <w:szCs w:val="32"/>
        </w:rPr>
        <w:t>扶持入驻企业。</w:t>
      </w:r>
      <w:r>
        <w:rPr>
          <w:rFonts w:hint="eastAsia" w:ascii="仿宋" w:hAnsi="仿宋" w:eastAsia="仿宋"/>
          <w:spacing w:val="0"/>
          <w:sz w:val="32"/>
          <w:szCs w:val="32"/>
        </w:rPr>
        <w:t>对新引进从事文化体育娱乐及旅游休闲服务的企业，单个旅游产业项目实际投资5000万元以上和单个文化、体育、娱乐及休闲产业项目实际投资3000万元以上的，从形成区级财力当年开始，连续三年分别按其</w:t>
      </w:r>
      <w:r>
        <w:rPr>
          <w:rFonts w:hint="eastAsia" w:ascii="仿宋" w:hAnsi="仿宋" w:eastAsia="仿宋"/>
          <w:spacing w:val="0"/>
          <w:sz w:val="32"/>
          <w:szCs w:val="32"/>
          <w:lang w:val="en-US" w:eastAsia="zh-CN"/>
        </w:rPr>
        <w:t>形成</w:t>
      </w:r>
      <w:r>
        <w:rPr>
          <w:rFonts w:hint="eastAsia" w:ascii="仿宋" w:hAnsi="仿宋" w:eastAsia="仿宋"/>
          <w:spacing w:val="0"/>
          <w:sz w:val="32"/>
          <w:szCs w:val="32"/>
        </w:rPr>
        <w:t>区级财力的50%、40%、30%给予扶持奖励。</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2</w:t>
      </w:r>
      <w:r>
        <w:rPr>
          <w:rFonts w:ascii="仿宋" w:hAnsi="仿宋" w:eastAsia="仿宋" w:cs="楷体_GB2312"/>
          <w:b/>
          <w:spacing w:val="0"/>
          <w:sz w:val="32"/>
          <w:szCs w:val="32"/>
        </w:rPr>
        <w:t>.</w:t>
      </w:r>
      <w:r>
        <w:rPr>
          <w:rFonts w:hint="eastAsia" w:ascii="仿宋" w:hAnsi="仿宋" w:eastAsia="仿宋" w:cs="楷体_GB2312"/>
          <w:b/>
          <w:spacing w:val="0"/>
          <w:sz w:val="32"/>
          <w:szCs w:val="32"/>
        </w:rPr>
        <w:t>开发景点景区。</w:t>
      </w:r>
      <w:r>
        <w:rPr>
          <w:rFonts w:hint="eastAsia" w:ascii="仿宋" w:hAnsi="仿宋" w:eastAsia="仿宋"/>
          <w:spacing w:val="0"/>
          <w:sz w:val="32"/>
          <w:szCs w:val="32"/>
        </w:rPr>
        <w:t>鼓励社会资本投资开发景区景点，支持景区景点类企业发展。</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1）投资建设旅游景区景点（主题公园、旅游度假区），实际投资额（不含土地使用权取得费用或土地使用权租赁费用）1亿元、5亿元、10亿元以上的，景区开业经营当年，分别一次性奖励投资主体20万元、50万元、100万元。</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（2）投资旅游景区（主题公园、旅游度假区）开发的建设项目，实际投资额在1亿元以上的，享受市级重点工程各项优惠政策。</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（3）景点类旅游企业按规定缴纳城镇土地使用税确有困难，且符合减免税条件的，可按照税收管理权限报经批准后，减免城镇土地使用税。</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3</w:t>
      </w:r>
      <w:r>
        <w:rPr>
          <w:rFonts w:ascii="仿宋" w:hAnsi="仿宋" w:eastAsia="仿宋" w:cs="楷体_GB2312"/>
          <w:b/>
          <w:spacing w:val="0"/>
          <w:sz w:val="32"/>
          <w:szCs w:val="32"/>
        </w:rPr>
        <w:t>.</w:t>
      </w:r>
      <w:r>
        <w:rPr>
          <w:rFonts w:hint="eastAsia" w:ascii="仿宋" w:hAnsi="仿宋" w:eastAsia="仿宋" w:cs="楷体_GB2312"/>
          <w:b/>
          <w:spacing w:val="0"/>
          <w:sz w:val="32"/>
          <w:szCs w:val="32"/>
        </w:rPr>
        <w:t>提升景区品质。</w:t>
      </w:r>
      <w:r>
        <w:rPr>
          <w:rFonts w:hint="eastAsia" w:ascii="仿宋" w:hAnsi="仿宋" w:eastAsia="仿宋"/>
          <w:spacing w:val="0"/>
          <w:sz w:val="32"/>
          <w:szCs w:val="32"/>
        </w:rPr>
        <w:t>以会龙山、碧云峰、水乡古镇、红色村庄、湿地公园为中心，开发精品旅游线路，建设赫山文化旅游核心区。依托厚重的民俗文化与乡村生态旅游资源，建好现代农业改革发展示范区。加快打造银城大道、新河画廊、S308线、志溪河沿岸、资江沿线乡村风情文化旅游带。</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（1）鼓励、引导旅游企业创建A级景区，首次被评为国家4A级、5A级旅游景区（点）的，当年分别一次性奖励旅游企业20万元、40万元。</w:t>
      </w:r>
    </w:p>
    <w:p>
      <w:pPr>
        <w:widowControl w:val="0"/>
        <w:wordWrap/>
        <w:adjustRightInd/>
        <w:snapToGrid/>
        <w:spacing w:line="630" w:lineRule="exact"/>
        <w:ind w:left="0" w:leftChars="0" w:right="0" w:firstLine="640" w:firstLineChars="200"/>
        <w:textAlignment w:val="auto"/>
        <w:outlineLvl w:val="9"/>
        <w:rPr>
          <w:rFonts w:ascii="仿宋" w:hAnsi="仿宋" w:eastAsia="仿宋"/>
          <w:color w:val="FF0000"/>
          <w:spacing w:val="0"/>
          <w:sz w:val="32"/>
          <w:szCs w:val="32"/>
          <w:u w:val="single"/>
        </w:rPr>
      </w:pPr>
      <w:r>
        <w:rPr>
          <w:rFonts w:hint="eastAsia" w:ascii="仿宋" w:hAnsi="仿宋" w:eastAsia="仿宋"/>
          <w:spacing w:val="0"/>
          <w:sz w:val="32"/>
          <w:szCs w:val="32"/>
        </w:rPr>
        <w:t>（2）支持精品旅游线路区域内兴办民办博物馆（含陈列馆或纪念馆）。对个人和民营企业在精品旅游线路区域内出资新建（新办）符合国家办馆要求的民办博物馆，建成（新办）后按陈列馆建筑面积给予补助。对新建的民办博物馆，在开馆后一次性给予500元/平方米的补助，最高补助限额不超过50万元；对租房新办的民办博物馆，开馆后一次性给予100元/平方米的补助，最高补助限额不超过20万元。鼓励金融机构对符合申报条件、有贷款需求的民办博物馆提供贷款。对精品旅游线路区域的民办博物馆馆舍建设和相关硬件配套设备项目（不包括藏品、展品投资、布展设施）投资1000万元以上的，由区财政补助三年的贷款贴息，累计贴息最高不超过50万元。民办博物馆的对外开发，按国家有关政策执行。</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ascii="仿宋" w:hAnsi="仿宋" w:eastAsia="仿宋" w:cs="楷体_GB2312"/>
          <w:b/>
          <w:spacing w:val="0"/>
          <w:sz w:val="32"/>
          <w:szCs w:val="32"/>
        </w:rPr>
        <w:t>4.</w:t>
      </w:r>
      <w:r>
        <w:rPr>
          <w:rFonts w:hint="eastAsia" w:ascii="仿宋" w:hAnsi="仿宋" w:eastAsia="仿宋" w:cs="楷体_GB2312"/>
          <w:b/>
          <w:spacing w:val="0"/>
          <w:sz w:val="32"/>
          <w:szCs w:val="32"/>
        </w:rPr>
        <w:t>繁荣文创产业。</w:t>
      </w:r>
      <w:r>
        <w:rPr>
          <w:rFonts w:hint="eastAsia" w:ascii="仿宋" w:hAnsi="仿宋" w:eastAsia="仿宋"/>
          <w:spacing w:val="0"/>
          <w:sz w:val="32"/>
          <w:szCs w:val="32"/>
        </w:rPr>
        <w:t>搭建创客平台，培育文创产业，鼓励、引进社会资本和人才兴办文创企业。</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（1）对新引进的大型专业广告公司、文化传播公司、文化传媒公司实际投资3000万元以上的和其他文创企业实际投资5000万元以上的，从开业的次年开始，连续三年分别按其</w:t>
      </w:r>
      <w:r>
        <w:rPr>
          <w:rFonts w:hint="eastAsia" w:ascii="仿宋" w:hAnsi="仿宋" w:eastAsia="仿宋"/>
          <w:spacing w:val="0"/>
          <w:sz w:val="32"/>
          <w:szCs w:val="32"/>
          <w:lang w:val="en-US" w:eastAsia="zh-CN"/>
        </w:rPr>
        <w:t>形成</w:t>
      </w:r>
      <w:r>
        <w:rPr>
          <w:rFonts w:hint="eastAsia" w:ascii="仿宋" w:hAnsi="仿宋" w:eastAsia="仿宋"/>
          <w:spacing w:val="0"/>
          <w:sz w:val="32"/>
          <w:szCs w:val="32"/>
        </w:rPr>
        <w:t>区级财力的50%、40%、30%给予扶持奖励。</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2）支持社会资本购买或租赁闲置的厂房、仓库、公办学校、行政事业单位和村委（社区）办公楼，进行全新改造包装，从事“艺术家村”“乡村文化俱乐部”“实景剧”“乡村特色音吧（书吧、茶吧）”等文化创意项目的（不包括民办博物馆或陈列馆、纪念馆），按业务用房的建筑面积给予补助。采取购买方式的，自正式开业的次月开始，连续三年按每月每平方米10元的标准给予补助（补助面积不超过400平方米）；采取租赁方式的（租赁期不得少于5年），自正式开业的次月开始，连续三年按每月每平方米5元的标准给予补助（补助面积不超过200平方米）。采取先租赁后购买方式的，可以从依法取得产权之日起，享受购买方式的补助，但必须扣除已享受的租赁方式的补助。</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3）对新引进的原创设计工作室等在区内租赁写字楼或宾馆、办公用房、公寓用于文化创意业务的（租赁期不得少于5年），自正式开业的次月开始，连续三年按建筑面积每月每平方米10元的标准给予补助（补助面积不超过200平方米）。</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（4）大学本科及以上学历人才回乡兴办文创产业，可按政策享受创业贷款、创业基金、培训等方面的优惠政策。</w:t>
      </w:r>
    </w:p>
    <w:p>
      <w:pPr>
        <w:widowControl w:val="0"/>
        <w:wordWrap/>
        <w:adjustRightInd/>
        <w:snapToGrid/>
        <w:spacing w:line="630" w:lineRule="exact"/>
        <w:ind w:left="0" w:leftChars="0" w:right="0" w:firstLine="643" w:firstLineChars="200"/>
        <w:textAlignment w:val="auto"/>
        <w:outlineLvl w:val="9"/>
        <w:rPr>
          <w:rFonts w:ascii="仿宋" w:hAnsi="仿宋" w:eastAsia="仿宋" w:cs="楷体_GB2312"/>
          <w:b/>
          <w:spacing w:val="0"/>
          <w:sz w:val="32"/>
          <w:szCs w:val="32"/>
        </w:rPr>
      </w:pPr>
      <w:r>
        <w:rPr>
          <w:rFonts w:ascii="仿宋" w:hAnsi="仿宋" w:eastAsia="仿宋" w:cs="楷体_GB2312"/>
          <w:b/>
          <w:spacing w:val="0"/>
          <w:sz w:val="32"/>
          <w:szCs w:val="32"/>
        </w:rPr>
        <w:t>5.</w:t>
      </w:r>
      <w:r>
        <w:rPr>
          <w:rFonts w:hint="eastAsia" w:ascii="仿宋" w:hAnsi="仿宋" w:eastAsia="仿宋" w:cs="楷体_GB2312"/>
          <w:b/>
          <w:spacing w:val="0"/>
          <w:sz w:val="32"/>
          <w:szCs w:val="32"/>
        </w:rPr>
        <w:t>培育会展经济。</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（1）对新入驻我区从事会展业务的大型专业会展公司或会展服务公司，从开业的当年开始，连续三年分别按其年</w:t>
      </w:r>
      <w:r>
        <w:rPr>
          <w:rFonts w:hint="eastAsia" w:ascii="仿宋" w:hAnsi="仿宋" w:eastAsia="仿宋"/>
          <w:spacing w:val="0"/>
          <w:sz w:val="32"/>
          <w:szCs w:val="32"/>
          <w:lang w:val="en-US" w:eastAsia="zh-CN"/>
        </w:rPr>
        <w:t>形成</w:t>
      </w:r>
      <w:r>
        <w:rPr>
          <w:rFonts w:hint="eastAsia" w:ascii="仿宋" w:hAnsi="仿宋" w:eastAsia="仿宋"/>
          <w:spacing w:val="0"/>
          <w:sz w:val="32"/>
          <w:szCs w:val="32"/>
        </w:rPr>
        <w:t>区级财力的50%、40%、30%给予扶持奖励。实际投资额在1亿元以上的会展建设项目，享受市级重点工程各项优惠政策。</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（2）展览馆、会展中心等专门用作会展活动的房产，按规定缴纳房产税确有困难的，符合减免税收条件的可按照税收管理权限报经批准后，减免房产税。</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ascii="仿宋" w:hAnsi="仿宋" w:eastAsia="仿宋" w:cs="楷体_GB2312"/>
          <w:b/>
          <w:spacing w:val="0"/>
          <w:sz w:val="32"/>
          <w:szCs w:val="32"/>
        </w:rPr>
        <w:t>6.</w:t>
      </w:r>
      <w:r>
        <w:rPr>
          <w:rFonts w:hint="eastAsia" w:ascii="仿宋" w:hAnsi="仿宋" w:eastAsia="仿宋" w:cs="楷体_GB2312"/>
          <w:b/>
          <w:spacing w:val="0"/>
          <w:sz w:val="32"/>
          <w:szCs w:val="32"/>
        </w:rPr>
        <w:t>创新发展模式。</w:t>
      </w:r>
      <w:r>
        <w:rPr>
          <w:rFonts w:hint="eastAsia" w:ascii="仿宋" w:hAnsi="仿宋" w:eastAsia="仿宋"/>
          <w:spacing w:val="0"/>
          <w:sz w:val="32"/>
          <w:szCs w:val="32"/>
        </w:rPr>
        <w:t>推动互联网与旅游行业深度融合，鼓励、引导企业构建“互联网+旅游”发展模式，建设“智慧景区”。鼓励建设乡村民俗文化村，对投资建设乡村民俗文化村（含乡村民俗客栈、民俗文化体验等）的社会资本投资主体，年</w:t>
      </w:r>
      <w:r>
        <w:rPr>
          <w:rFonts w:hint="eastAsia" w:ascii="仿宋" w:hAnsi="仿宋" w:eastAsia="仿宋"/>
          <w:spacing w:val="0"/>
          <w:sz w:val="32"/>
          <w:szCs w:val="32"/>
          <w:lang w:val="en-US" w:eastAsia="zh-CN"/>
        </w:rPr>
        <w:t>形成</w:t>
      </w:r>
      <w:r>
        <w:rPr>
          <w:rFonts w:hint="eastAsia" w:ascii="仿宋" w:hAnsi="仿宋" w:eastAsia="仿宋"/>
          <w:spacing w:val="0"/>
          <w:sz w:val="32"/>
          <w:szCs w:val="32"/>
        </w:rPr>
        <w:t>区级财力10万元及以上的，从正式开业的次年开始，连续三年分别按其年</w:t>
      </w:r>
      <w:r>
        <w:rPr>
          <w:rFonts w:hint="eastAsia" w:ascii="仿宋" w:hAnsi="仿宋" w:eastAsia="仿宋"/>
          <w:spacing w:val="0"/>
          <w:sz w:val="32"/>
          <w:szCs w:val="32"/>
          <w:lang w:val="en-US" w:eastAsia="zh-CN"/>
        </w:rPr>
        <w:t>形成</w:t>
      </w:r>
      <w:r>
        <w:rPr>
          <w:rFonts w:hint="eastAsia" w:ascii="仿宋" w:hAnsi="仿宋" w:eastAsia="仿宋"/>
          <w:spacing w:val="0"/>
          <w:sz w:val="32"/>
          <w:szCs w:val="32"/>
        </w:rPr>
        <w:t>区级财力的50%、40%、30%给予扶持奖励。</w:t>
      </w:r>
    </w:p>
    <w:p>
      <w:pPr>
        <w:widowControl w:val="0"/>
        <w:wordWrap/>
        <w:adjustRightInd/>
        <w:snapToGrid/>
        <w:spacing w:line="630" w:lineRule="exact"/>
        <w:ind w:left="0" w:leftChars="0" w:right="0" w:firstLine="640" w:firstLineChars="200"/>
        <w:textAlignment w:val="auto"/>
        <w:outlineLvl w:val="9"/>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（三）电子商务服务业</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1</w:t>
      </w:r>
      <w:r>
        <w:rPr>
          <w:rFonts w:ascii="仿宋" w:hAnsi="仿宋" w:eastAsia="仿宋" w:cs="楷体_GB2312"/>
          <w:b/>
          <w:spacing w:val="0"/>
          <w:sz w:val="32"/>
          <w:szCs w:val="32"/>
        </w:rPr>
        <w:t>.</w:t>
      </w:r>
      <w:r>
        <w:rPr>
          <w:rFonts w:hint="eastAsia" w:ascii="仿宋" w:hAnsi="仿宋" w:eastAsia="仿宋" w:cs="楷体_GB2312"/>
          <w:b/>
          <w:spacing w:val="0"/>
          <w:sz w:val="32"/>
          <w:szCs w:val="32"/>
        </w:rPr>
        <w:t>优化空间布局。</w:t>
      </w:r>
      <w:r>
        <w:rPr>
          <w:rFonts w:hint="eastAsia" w:ascii="仿宋" w:hAnsi="仿宋" w:eastAsia="仿宋"/>
          <w:spacing w:val="0"/>
          <w:sz w:val="32"/>
          <w:szCs w:val="32"/>
        </w:rPr>
        <w:t>促推顺德城、万国荟等电子商务总部落地，建立区域性运营总部和仓储配送中心，发展电商总部经济，加快形成“一核两片多点”（</w:t>
      </w:r>
      <w:r>
        <w:rPr>
          <w:rFonts w:ascii="仿宋" w:hAnsi="仿宋" w:eastAsia="仿宋"/>
          <w:bCs/>
          <w:spacing w:val="0"/>
          <w:sz w:val="32"/>
          <w:szCs w:val="32"/>
        </w:rPr>
        <w:t>一核</w:t>
      </w:r>
      <w:r>
        <w:rPr>
          <w:rFonts w:hint="eastAsia" w:ascii="仿宋" w:hAnsi="仿宋" w:eastAsia="仿宋"/>
          <w:bCs/>
          <w:spacing w:val="0"/>
          <w:sz w:val="32"/>
          <w:szCs w:val="32"/>
        </w:rPr>
        <w:t>是指</w:t>
      </w:r>
      <w:r>
        <w:rPr>
          <w:rFonts w:ascii="仿宋" w:hAnsi="仿宋" w:eastAsia="仿宋"/>
          <w:spacing w:val="0"/>
          <w:sz w:val="32"/>
          <w:szCs w:val="32"/>
        </w:rPr>
        <w:t>在龙岭工业集中区建设一个建筑面积在5万平方米以上</w:t>
      </w:r>
      <w:r>
        <w:rPr>
          <w:rFonts w:hint="eastAsia" w:ascii="仿宋" w:hAnsi="仿宋" w:eastAsia="仿宋"/>
          <w:spacing w:val="0"/>
          <w:sz w:val="32"/>
          <w:szCs w:val="32"/>
        </w:rPr>
        <w:t>的</w:t>
      </w:r>
      <w:r>
        <w:rPr>
          <w:rFonts w:ascii="仿宋" w:hAnsi="仿宋" w:eastAsia="仿宋"/>
          <w:spacing w:val="0"/>
          <w:sz w:val="32"/>
          <w:szCs w:val="32"/>
        </w:rPr>
        <w:t>电子商务产业园</w:t>
      </w:r>
      <w:r>
        <w:rPr>
          <w:rFonts w:hint="eastAsia" w:ascii="仿宋" w:hAnsi="仿宋" w:eastAsia="仿宋"/>
          <w:spacing w:val="0"/>
          <w:sz w:val="32"/>
          <w:szCs w:val="32"/>
        </w:rPr>
        <w:t>；</w:t>
      </w:r>
      <w:r>
        <w:rPr>
          <w:rFonts w:ascii="仿宋" w:hAnsi="仿宋" w:eastAsia="仿宋"/>
          <w:bCs/>
          <w:spacing w:val="0"/>
          <w:sz w:val="32"/>
          <w:szCs w:val="32"/>
        </w:rPr>
        <w:t>两片</w:t>
      </w:r>
      <w:r>
        <w:rPr>
          <w:rFonts w:hint="eastAsia" w:ascii="仿宋" w:hAnsi="仿宋" w:eastAsia="仿宋"/>
          <w:bCs/>
          <w:spacing w:val="0"/>
          <w:sz w:val="32"/>
          <w:szCs w:val="32"/>
        </w:rPr>
        <w:t>是指</w:t>
      </w:r>
      <w:r>
        <w:rPr>
          <w:rFonts w:ascii="仿宋" w:hAnsi="仿宋" w:eastAsia="仿宋"/>
          <w:bCs/>
          <w:spacing w:val="0"/>
          <w:sz w:val="32"/>
          <w:szCs w:val="32"/>
        </w:rPr>
        <w:t>益阳大道以北、金山北路以西的核心商业片区和</w:t>
      </w:r>
      <w:r>
        <w:rPr>
          <w:rFonts w:hint="eastAsia" w:ascii="仿宋" w:hAnsi="仿宋" w:eastAsia="仿宋"/>
          <w:bCs/>
          <w:spacing w:val="0"/>
          <w:sz w:val="32"/>
          <w:szCs w:val="32"/>
        </w:rPr>
        <w:t>银城</w:t>
      </w:r>
      <w:r>
        <w:rPr>
          <w:rFonts w:ascii="仿宋" w:hAnsi="仿宋" w:eastAsia="仿宋"/>
          <w:bCs/>
          <w:spacing w:val="0"/>
          <w:sz w:val="32"/>
          <w:szCs w:val="32"/>
        </w:rPr>
        <w:t>大道沿线至</w:t>
      </w:r>
      <w:r>
        <w:rPr>
          <w:rFonts w:ascii="仿宋" w:hAnsi="仿宋" w:eastAsia="仿宋"/>
          <w:spacing w:val="0"/>
          <w:sz w:val="32"/>
          <w:szCs w:val="32"/>
        </w:rPr>
        <w:t>沧水铺镇的新商业片区</w:t>
      </w:r>
      <w:r>
        <w:rPr>
          <w:rFonts w:hint="eastAsia" w:ascii="仿宋" w:hAnsi="仿宋" w:eastAsia="仿宋"/>
          <w:spacing w:val="0"/>
          <w:sz w:val="32"/>
          <w:szCs w:val="32"/>
        </w:rPr>
        <w:t>；</w:t>
      </w:r>
      <w:r>
        <w:rPr>
          <w:rFonts w:ascii="仿宋" w:hAnsi="仿宋" w:eastAsia="仿宋"/>
          <w:bCs/>
          <w:spacing w:val="0"/>
          <w:sz w:val="32"/>
          <w:szCs w:val="32"/>
        </w:rPr>
        <w:t>多点</w:t>
      </w:r>
      <w:r>
        <w:rPr>
          <w:rFonts w:hint="eastAsia" w:ascii="仿宋" w:hAnsi="仿宋" w:eastAsia="仿宋"/>
          <w:bCs/>
          <w:spacing w:val="0"/>
          <w:sz w:val="32"/>
          <w:szCs w:val="32"/>
        </w:rPr>
        <w:t>是指</w:t>
      </w:r>
      <w:r>
        <w:rPr>
          <w:rFonts w:ascii="仿宋" w:hAnsi="仿宋" w:eastAsia="仿宋"/>
          <w:bCs/>
          <w:spacing w:val="0"/>
          <w:sz w:val="32"/>
          <w:szCs w:val="32"/>
        </w:rPr>
        <w:t>依</w:t>
      </w:r>
      <w:r>
        <w:rPr>
          <w:rFonts w:ascii="仿宋" w:hAnsi="仿宋" w:eastAsia="仿宋"/>
          <w:spacing w:val="0"/>
          <w:sz w:val="32"/>
          <w:szCs w:val="32"/>
        </w:rPr>
        <w:t>托乡镇、村的特色产业</w:t>
      </w:r>
      <w:r>
        <w:rPr>
          <w:rFonts w:hint="eastAsia" w:ascii="仿宋" w:hAnsi="仿宋" w:eastAsia="仿宋"/>
          <w:spacing w:val="0"/>
          <w:sz w:val="32"/>
          <w:szCs w:val="32"/>
        </w:rPr>
        <w:t>，</w:t>
      </w:r>
      <w:r>
        <w:rPr>
          <w:rFonts w:ascii="仿宋" w:hAnsi="仿宋" w:eastAsia="仿宋"/>
          <w:spacing w:val="0"/>
          <w:sz w:val="32"/>
          <w:szCs w:val="32"/>
        </w:rPr>
        <w:t>打造一批电商示范乡镇、农村电商示范村</w:t>
      </w:r>
      <w:r>
        <w:rPr>
          <w:rFonts w:hint="eastAsia" w:ascii="仿宋" w:hAnsi="仿宋" w:eastAsia="仿宋"/>
          <w:spacing w:val="0"/>
          <w:sz w:val="32"/>
          <w:szCs w:val="32"/>
        </w:rPr>
        <w:t>）</w:t>
      </w:r>
      <w:r>
        <w:rPr>
          <w:rFonts w:ascii="仿宋" w:hAnsi="仿宋" w:eastAsia="仿宋"/>
          <w:spacing w:val="0"/>
          <w:sz w:val="32"/>
          <w:szCs w:val="32"/>
        </w:rPr>
        <w:t>的电子商务空间布局。</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2</w:t>
      </w:r>
      <w:r>
        <w:rPr>
          <w:rFonts w:ascii="仿宋" w:hAnsi="仿宋" w:eastAsia="仿宋" w:cs="楷体_GB2312"/>
          <w:b/>
          <w:spacing w:val="0"/>
          <w:sz w:val="32"/>
          <w:szCs w:val="32"/>
        </w:rPr>
        <w:t>.</w:t>
      </w:r>
      <w:r>
        <w:rPr>
          <w:rFonts w:hint="eastAsia" w:ascii="仿宋" w:hAnsi="仿宋" w:eastAsia="仿宋" w:cs="楷体_GB2312"/>
          <w:b/>
          <w:spacing w:val="0"/>
          <w:sz w:val="32"/>
          <w:szCs w:val="32"/>
        </w:rPr>
        <w:t>扶持电商应用。</w:t>
      </w:r>
      <w:r>
        <w:rPr>
          <w:rFonts w:hint="eastAsia" w:ascii="仿宋" w:hAnsi="仿宋" w:eastAsia="仿宋"/>
          <w:spacing w:val="0"/>
          <w:sz w:val="32"/>
          <w:szCs w:val="32"/>
        </w:rPr>
        <w:t>全力</w:t>
      </w:r>
      <w:bookmarkStart w:id="0" w:name="baidusnap1"/>
      <w:bookmarkEnd w:id="0"/>
      <w:r>
        <w:rPr>
          <w:rFonts w:hint="eastAsia" w:ascii="仿宋" w:hAnsi="仿宋" w:eastAsia="仿宋"/>
          <w:spacing w:val="0"/>
          <w:sz w:val="32"/>
          <w:szCs w:val="32"/>
        </w:rPr>
        <w:t>推进电子商务在</w:t>
      </w:r>
      <w:bookmarkStart w:id="1" w:name="baidusnap5"/>
      <w:bookmarkEnd w:id="1"/>
      <w:r>
        <w:rPr>
          <w:rFonts w:hint="eastAsia" w:ascii="仿宋" w:hAnsi="仿宋" w:eastAsia="仿宋"/>
          <w:spacing w:val="0"/>
          <w:sz w:val="32"/>
          <w:szCs w:val="32"/>
        </w:rPr>
        <w:fldChar w:fldCharType="begin"/>
      </w:r>
      <w:r>
        <w:rPr>
          <w:rFonts w:hint="eastAsia" w:ascii="仿宋" w:hAnsi="仿宋" w:eastAsia="仿宋"/>
          <w:spacing w:val="0"/>
          <w:sz w:val="32"/>
          <w:szCs w:val="32"/>
        </w:rPr>
        <w:instrText xml:space="preserve"> HYPERLINK "http://www.100ec.cn/zt/sndsh/" \t "_blank" </w:instrText>
      </w:r>
      <w:r>
        <w:rPr>
          <w:rFonts w:hint="eastAsia" w:ascii="仿宋" w:hAnsi="仿宋" w:eastAsia="仿宋"/>
          <w:spacing w:val="0"/>
          <w:sz w:val="32"/>
          <w:szCs w:val="32"/>
        </w:rPr>
        <w:fldChar w:fldCharType="separate"/>
      </w:r>
      <w:r>
        <w:rPr>
          <w:rFonts w:hint="eastAsia" w:ascii="仿宋" w:hAnsi="仿宋" w:eastAsia="仿宋"/>
          <w:spacing w:val="0"/>
          <w:sz w:val="32"/>
          <w:szCs w:val="32"/>
        </w:rPr>
        <w:t>农业</w:t>
      </w:r>
      <w:r>
        <w:rPr>
          <w:rFonts w:hint="eastAsia" w:ascii="仿宋" w:hAnsi="仿宋" w:eastAsia="仿宋"/>
          <w:spacing w:val="0"/>
          <w:sz w:val="32"/>
          <w:szCs w:val="32"/>
        </w:rPr>
        <w:fldChar w:fldCharType="end"/>
      </w:r>
      <w:r>
        <w:rPr>
          <w:rFonts w:hint="eastAsia" w:ascii="仿宋" w:hAnsi="仿宋" w:eastAsia="仿宋"/>
          <w:spacing w:val="0"/>
          <w:sz w:val="32"/>
          <w:szCs w:val="32"/>
        </w:rPr>
        <w:t>、工业和现代</w:t>
      </w:r>
      <w:bookmarkStart w:id="2" w:name="baidusnap7"/>
      <w:bookmarkEnd w:id="2"/>
      <w:r>
        <w:rPr>
          <w:rFonts w:hint="eastAsia" w:ascii="仿宋" w:hAnsi="仿宋" w:eastAsia="仿宋"/>
          <w:spacing w:val="0"/>
          <w:sz w:val="32"/>
          <w:szCs w:val="32"/>
        </w:rPr>
        <w:t>服务业等领域的应用，加快促进辖区内农产品、家具、包装、纺织、文化、旅游、电子、医药等优势产业触网发展。农产品生产经营企业和现代服务企业网上年销售额达到500万元以上的，按上年度销售额的2%进行奖励，每家企业奖励总额不超过20万元。工业企业网上年销售额在1000万元以上的，按上年度销售额2%进行奖励，每家企业奖励总额不超过40万元。</w:t>
      </w:r>
    </w:p>
    <w:p>
      <w:pPr>
        <w:widowControl w:val="0"/>
        <w:wordWrap/>
        <w:adjustRightInd/>
        <w:snapToGrid/>
        <w:spacing w:line="630" w:lineRule="exact"/>
        <w:ind w:left="0" w:leftChars="0" w:right="0" w:firstLine="640" w:firstLineChars="200"/>
        <w:textAlignment w:val="auto"/>
        <w:outlineLvl w:val="9"/>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（四）现代商贸物流业</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1</w:t>
      </w:r>
      <w:r>
        <w:rPr>
          <w:rFonts w:ascii="仿宋" w:hAnsi="仿宋" w:eastAsia="仿宋" w:cs="楷体_GB2312"/>
          <w:b/>
          <w:spacing w:val="0"/>
          <w:sz w:val="32"/>
          <w:szCs w:val="32"/>
        </w:rPr>
        <w:t>.</w:t>
      </w:r>
      <w:r>
        <w:rPr>
          <w:rFonts w:hint="eastAsia" w:ascii="仿宋" w:hAnsi="仿宋" w:eastAsia="仿宋" w:cs="楷体_GB2312"/>
          <w:b/>
          <w:spacing w:val="0"/>
          <w:sz w:val="32"/>
          <w:szCs w:val="32"/>
        </w:rPr>
        <w:t>提质现有商贸中心。</w:t>
      </w:r>
      <w:r>
        <w:rPr>
          <w:rFonts w:hint="eastAsia" w:ascii="仿宋" w:hAnsi="仿宋" w:eastAsia="仿宋"/>
          <w:spacing w:val="0"/>
          <w:sz w:val="32"/>
          <w:szCs w:val="32"/>
        </w:rPr>
        <w:t>着力推进老旧商业区功能优化及转型升级，加快布局新兴服务业态，对桃花仑、赫山庙、桥南、七里桥等原商务中心进行功能性调整和战略性扩容。</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2</w:t>
      </w:r>
      <w:r>
        <w:rPr>
          <w:rFonts w:ascii="仿宋" w:hAnsi="仿宋" w:eastAsia="仿宋" w:cs="楷体_GB2312"/>
          <w:b/>
          <w:spacing w:val="0"/>
          <w:sz w:val="32"/>
          <w:szCs w:val="32"/>
        </w:rPr>
        <w:t>.</w:t>
      </w:r>
      <w:r>
        <w:rPr>
          <w:rFonts w:hint="eastAsia" w:ascii="仿宋" w:hAnsi="仿宋" w:eastAsia="仿宋" w:cs="楷体_GB2312"/>
          <w:b/>
          <w:spacing w:val="0"/>
          <w:sz w:val="32"/>
          <w:szCs w:val="32"/>
        </w:rPr>
        <w:t>打造现代商贸中心。</w:t>
      </w:r>
      <w:r>
        <w:rPr>
          <w:rFonts w:hint="eastAsia" w:ascii="仿宋" w:hAnsi="仿宋" w:eastAsia="仿宋"/>
          <w:spacing w:val="0"/>
          <w:sz w:val="32"/>
          <w:szCs w:val="32"/>
        </w:rPr>
        <w:t>积极引进知名品牌、知名商贸流通企业，打造现代商贸中心。新入驻的单店经营面积3万平方米以上的品牌百货商场或专业市场、1.5万平方米以上的大型超市、2000平方米以上的国内外知名品牌直营企业，开业经营后，分别一次性奖励20万元、15万元、5万元。</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3</w:t>
      </w:r>
      <w:r>
        <w:rPr>
          <w:rFonts w:ascii="仿宋" w:hAnsi="仿宋" w:eastAsia="仿宋" w:cs="楷体_GB2312"/>
          <w:b/>
          <w:spacing w:val="0"/>
          <w:sz w:val="32"/>
          <w:szCs w:val="32"/>
        </w:rPr>
        <w:t>.</w:t>
      </w:r>
      <w:r>
        <w:rPr>
          <w:rFonts w:hint="eastAsia" w:ascii="仿宋" w:hAnsi="仿宋" w:eastAsia="仿宋" w:cs="楷体_GB2312"/>
          <w:b/>
          <w:spacing w:val="0"/>
          <w:sz w:val="32"/>
          <w:szCs w:val="32"/>
        </w:rPr>
        <w:t>建设物流集散中心。</w:t>
      </w:r>
      <w:r>
        <w:rPr>
          <w:rFonts w:hint="eastAsia" w:ascii="仿宋" w:hAnsi="仿宋" w:eastAsia="仿宋"/>
          <w:spacing w:val="0"/>
          <w:sz w:val="32"/>
          <w:szCs w:val="32"/>
        </w:rPr>
        <w:t xml:space="preserve">以顺德城、海吉星为中心，整合物流资源，发展一批专业化大型物流企业，建设物流园区、物流中心。对物流园区、物流中心内新引进的物流企业、从事货物运输的大型专业运输企业，连续三年分别按其形成区级财力的50%、40%、30%给予扶持奖励。对新引进的大型专业运输企业、仓储企业运输、仓储专用设备设施等固定资产投资贷款产生的利息给予20%的补贴，累计补贴金额不超过50万元。 </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4</w:t>
      </w:r>
      <w:r>
        <w:rPr>
          <w:rFonts w:ascii="仿宋" w:hAnsi="仿宋" w:eastAsia="仿宋" w:cs="楷体_GB2312"/>
          <w:b/>
          <w:spacing w:val="0"/>
          <w:sz w:val="32"/>
          <w:szCs w:val="32"/>
        </w:rPr>
        <w:t>.</w:t>
      </w:r>
      <w:r>
        <w:rPr>
          <w:rFonts w:hint="eastAsia" w:ascii="仿宋" w:hAnsi="仿宋" w:eastAsia="仿宋" w:cs="楷体_GB2312"/>
          <w:b/>
          <w:spacing w:val="0"/>
          <w:sz w:val="32"/>
          <w:szCs w:val="32"/>
        </w:rPr>
        <w:t>做大做强快递企业。</w:t>
      </w:r>
      <w:r>
        <w:rPr>
          <w:rFonts w:hint="eastAsia" w:ascii="仿宋" w:hAnsi="仿宋" w:eastAsia="仿宋"/>
          <w:spacing w:val="0"/>
          <w:sz w:val="32"/>
          <w:szCs w:val="32"/>
        </w:rPr>
        <w:t>对本地注册的物流快递企业，揽件量达到日均8000票以上或年营业额达到1500万元以上的，一次性奖励10万元。</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5</w:t>
      </w:r>
      <w:r>
        <w:rPr>
          <w:rFonts w:ascii="仿宋" w:hAnsi="仿宋" w:eastAsia="仿宋" w:cs="楷体_GB2312"/>
          <w:b/>
          <w:spacing w:val="0"/>
          <w:sz w:val="32"/>
          <w:szCs w:val="32"/>
        </w:rPr>
        <w:t>.</w:t>
      </w:r>
      <w:r>
        <w:rPr>
          <w:rFonts w:hint="eastAsia" w:ascii="仿宋" w:hAnsi="仿宋" w:eastAsia="仿宋" w:cs="楷体_GB2312"/>
          <w:b/>
          <w:spacing w:val="0"/>
          <w:sz w:val="32"/>
          <w:szCs w:val="32"/>
        </w:rPr>
        <w:t>发展农产品冷链物流。</w:t>
      </w:r>
      <w:r>
        <w:rPr>
          <w:rFonts w:hint="eastAsia" w:ascii="仿宋" w:hAnsi="仿宋" w:eastAsia="仿宋"/>
          <w:spacing w:val="0"/>
          <w:sz w:val="32"/>
          <w:szCs w:val="32"/>
        </w:rPr>
        <w:t>对国家或省级农业产业化龙头企业、商贸流通企业，AAA级以上（含）物流企业，以及采用“公司+农户+农贸市场”和“公司+基地+直营（超市）”经营模式的企业建设农产品冷链物流项目的，采取贷款贴息和投资补助的方式给予支持，贴息率为人民银行发布的同期贷款基准利率，贴息年限不超过2年。</w:t>
      </w:r>
    </w:p>
    <w:p>
      <w:pPr>
        <w:widowControl w:val="0"/>
        <w:wordWrap/>
        <w:adjustRightInd/>
        <w:snapToGrid/>
        <w:spacing w:line="630" w:lineRule="exact"/>
        <w:ind w:left="0" w:leftChars="0" w:right="0" w:firstLine="640" w:firstLineChars="200"/>
        <w:textAlignment w:val="auto"/>
        <w:outlineLvl w:val="9"/>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（五）医疗及健康养老服务业</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1</w:t>
      </w:r>
      <w:r>
        <w:rPr>
          <w:rFonts w:ascii="仿宋" w:hAnsi="仿宋" w:eastAsia="仿宋" w:cs="楷体_GB2312"/>
          <w:b/>
          <w:spacing w:val="0"/>
          <w:sz w:val="32"/>
          <w:szCs w:val="32"/>
        </w:rPr>
        <w:t>.</w:t>
      </w:r>
      <w:r>
        <w:rPr>
          <w:rFonts w:hint="eastAsia" w:ascii="仿宋" w:hAnsi="仿宋" w:eastAsia="仿宋" w:cs="楷体_GB2312"/>
          <w:b/>
          <w:spacing w:val="0"/>
          <w:sz w:val="32"/>
          <w:szCs w:val="32"/>
        </w:rPr>
        <w:t>推进医养融合发展。</w:t>
      </w:r>
      <w:r>
        <w:rPr>
          <w:rFonts w:hint="eastAsia" w:ascii="仿宋" w:hAnsi="仿宋" w:eastAsia="仿宋"/>
          <w:spacing w:val="0"/>
          <w:sz w:val="32"/>
          <w:szCs w:val="32"/>
        </w:rPr>
        <w:t>加速实施卫计养老互通，引导建设医养融合型服务机构，提供治疗期住院、康复期集中护理、稳定期居家照料的一体化医养融合服务。</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2</w:t>
      </w:r>
      <w:r>
        <w:rPr>
          <w:rFonts w:ascii="仿宋" w:hAnsi="仿宋" w:eastAsia="仿宋" w:cs="楷体_GB2312"/>
          <w:b/>
          <w:spacing w:val="0"/>
          <w:sz w:val="32"/>
          <w:szCs w:val="32"/>
        </w:rPr>
        <w:t>.</w:t>
      </w:r>
      <w:r>
        <w:rPr>
          <w:rFonts w:hint="eastAsia" w:ascii="仿宋" w:hAnsi="仿宋" w:eastAsia="仿宋" w:cs="楷体_GB2312"/>
          <w:b/>
          <w:spacing w:val="0"/>
          <w:sz w:val="32"/>
          <w:szCs w:val="32"/>
        </w:rPr>
        <w:t>发展</w:t>
      </w:r>
      <w:r>
        <w:rPr>
          <w:rFonts w:ascii="仿宋" w:hAnsi="仿宋" w:eastAsia="仿宋" w:cs="楷体_GB2312"/>
          <w:b/>
          <w:spacing w:val="0"/>
          <w:sz w:val="32"/>
          <w:szCs w:val="32"/>
        </w:rPr>
        <w:t>居家</w:t>
      </w:r>
      <w:r>
        <w:rPr>
          <w:rFonts w:hint="eastAsia" w:ascii="仿宋" w:hAnsi="仿宋" w:eastAsia="仿宋" w:cs="楷体_GB2312"/>
          <w:b/>
          <w:spacing w:val="0"/>
          <w:sz w:val="32"/>
          <w:szCs w:val="32"/>
        </w:rPr>
        <w:t>养老服务。</w:t>
      </w:r>
      <w:r>
        <w:rPr>
          <w:rFonts w:hint="eastAsia" w:ascii="仿宋" w:hAnsi="仿宋" w:eastAsia="仿宋"/>
          <w:spacing w:val="0"/>
          <w:sz w:val="32"/>
          <w:szCs w:val="32"/>
        </w:rPr>
        <w:t>建立健全以企业（机构）为主体，社区（村）为纽带的居家养老服务网络，让老年人通过一个电话或网络指令，就能享受各种养老服务。</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3</w:t>
      </w:r>
      <w:r>
        <w:rPr>
          <w:rFonts w:ascii="仿宋" w:hAnsi="仿宋" w:eastAsia="仿宋" w:cs="楷体_GB2312"/>
          <w:b/>
          <w:spacing w:val="0"/>
          <w:sz w:val="32"/>
          <w:szCs w:val="32"/>
        </w:rPr>
        <w:t>.</w:t>
      </w:r>
      <w:r>
        <w:rPr>
          <w:rFonts w:hint="eastAsia" w:ascii="仿宋" w:hAnsi="仿宋" w:eastAsia="仿宋" w:cs="楷体_GB2312"/>
          <w:b/>
          <w:spacing w:val="0"/>
          <w:sz w:val="32"/>
          <w:szCs w:val="32"/>
        </w:rPr>
        <w:t>支持社会力量举办养老机构。</w:t>
      </w:r>
      <w:r>
        <w:rPr>
          <w:rFonts w:hint="eastAsia" w:ascii="仿宋" w:hAnsi="仿宋" w:eastAsia="仿宋"/>
          <w:spacing w:val="0"/>
          <w:sz w:val="32"/>
          <w:szCs w:val="32"/>
        </w:rPr>
        <w:t>对在区内新建民办养老服务机构并取得《养老机构设立许可证》的，每张床位一次性给予3000元建设补贴，改扩建的减半给予建设补贴，每个养老机构补贴总额不超过100万元。养老机构每接受一名本市户籍60周岁以上人员，给予每月100元的运营补贴，补贴期限不超过5年。</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4</w:t>
      </w:r>
      <w:r>
        <w:rPr>
          <w:rFonts w:ascii="仿宋" w:hAnsi="仿宋" w:eastAsia="仿宋" w:cs="楷体_GB2312"/>
          <w:b/>
          <w:spacing w:val="0"/>
          <w:sz w:val="32"/>
          <w:szCs w:val="32"/>
        </w:rPr>
        <w:t>.</w:t>
      </w:r>
      <w:r>
        <w:rPr>
          <w:rFonts w:hint="eastAsia" w:ascii="仿宋" w:hAnsi="仿宋" w:eastAsia="仿宋" w:cs="楷体_GB2312"/>
          <w:b/>
          <w:spacing w:val="0"/>
          <w:sz w:val="32"/>
          <w:szCs w:val="32"/>
        </w:rPr>
        <w:t>建设健康产业项目。</w:t>
      </w:r>
      <w:r>
        <w:rPr>
          <w:rFonts w:hint="eastAsia" w:ascii="仿宋" w:hAnsi="仿宋" w:eastAsia="仿宋"/>
          <w:spacing w:val="0"/>
          <w:sz w:val="32"/>
          <w:szCs w:val="32"/>
        </w:rPr>
        <w:t>推广汉森模式，鼓励医药企业向产业链上下游延伸，加快建好汉森健康产业园等项目，推出高端康复养生医疗服务项目，建设森林康养项目。</w:t>
      </w:r>
    </w:p>
    <w:p>
      <w:pPr>
        <w:widowControl w:val="0"/>
        <w:wordWrap/>
        <w:adjustRightInd/>
        <w:snapToGrid/>
        <w:spacing w:line="630" w:lineRule="exact"/>
        <w:ind w:left="0" w:leftChars="0" w:right="0" w:firstLine="640" w:firstLineChars="200"/>
        <w:textAlignment w:val="auto"/>
        <w:outlineLvl w:val="9"/>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（六）房地产业（含楼宇经济及建筑业）</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1</w:t>
      </w:r>
      <w:r>
        <w:rPr>
          <w:rFonts w:ascii="仿宋" w:hAnsi="仿宋" w:eastAsia="仿宋" w:cs="楷体_GB2312"/>
          <w:b/>
          <w:spacing w:val="0"/>
          <w:sz w:val="32"/>
          <w:szCs w:val="32"/>
        </w:rPr>
        <w:t>.</w:t>
      </w:r>
      <w:r>
        <w:rPr>
          <w:rFonts w:hint="eastAsia" w:ascii="仿宋" w:hAnsi="仿宋" w:eastAsia="仿宋" w:cs="楷体_GB2312"/>
          <w:b/>
          <w:spacing w:val="0"/>
          <w:sz w:val="32"/>
          <w:szCs w:val="32"/>
        </w:rPr>
        <w:t>扶持打造中心商务区。</w:t>
      </w:r>
      <w:r>
        <w:rPr>
          <w:rFonts w:hint="eastAsia" w:ascii="仿宋" w:hAnsi="仿宋" w:eastAsia="仿宋"/>
          <w:spacing w:val="0"/>
          <w:sz w:val="32"/>
          <w:szCs w:val="32"/>
        </w:rPr>
        <w:t>新建使用面积1万平方米及以上商务楼宇、大型卖场（商街）的，项目竣工投入使用后，若投资开发主体在我区纳税，则按实际使用面积给予投资开发主体20元/平方米的一次性奖励；超过5万平方米的，超过部分按30元/平方米给予奖励。在上述项目购买使用面积2000平方米及以上商业地产，且自持经营并在我区纳税的，则按使用面积给予购买者20元/平方米的一次性奖励，单个项目扶植奖励金额最高不超过20万元。</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2</w:t>
      </w:r>
      <w:r>
        <w:rPr>
          <w:rFonts w:ascii="仿宋" w:hAnsi="仿宋" w:eastAsia="仿宋" w:cs="楷体_GB2312"/>
          <w:b/>
          <w:spacing w:val="0"/>
          <w:sz w:val="32"/>
          <w:szCs w:val="32"/>
        </w:rPr>
        <w:t>.</w:t>
      </w:r>
      <w:r>
        <w:rPr>
          <w:rFonts w:hint="eastAsia" w:ascii="仿宋" w:hAnsi="仿宋" w:eastAsia="仿宋" w:cs="楷体_GB2312"/>
          <w:b/>
          <w:spacing w:val="0"/>
          <w:sz w:val="32"/>
          <w:szCs w:val="32"/>
        </w:rPr>
        <w:t>激励总部入驻。</w:t>
      </w:r>
      <w:r>
        <w:rPr>
          <w:rFonts w:hint="eastAsia" w:ascii="仿宋" w:hAnsi="仿宋" w:eastAsia="仿宋"/>
          <w:spacing w:val="0"/>
          <w:sz w:val="32"/>
          <w:szCs w:val="32"/>
        </w:rPr>
        <w:t>金融保险机构总部和独立分支机构、国内500强或央企集团区域总部、区政府认定的其他区域总部机构和独立分支机构以购买或租赁办公用房形式入驻的，在开业经营且形成区级财力后，按办公用房自用面积给予奖励补贴扶持，购买面积在1000平方米以上的，一次性补贴200元/平方米，租赁面积在1000平方米以上的，补贴50元/平方米，补贴期限三年。</w:t>
      </w:r>
    </w:p>
    <w:p>
      <w:pPr>
        <w:widowControl w:val="0"/>
        <w:wordWrap/>
        <w:adjustRightInd/>
        <w:snapToGrid/>
        <w:spacing w:line="630" w:lineRule="exact"/>
        <w:ind w:left="0" w:leftChars="0" w:right="0" w:firstLine="643" w:firstLineChars="200"/>
        <w:textAlignment w:val="auto"/>
        <w:outlineLvl w:val="9"/>
        <w:rPr>
          <w:rFonts w:ascii="仿宋" w:hAnsi="仿宋" w:eastAsia="仿宋" w:cs="宋体"/>
          <w:spacing w:val="0"/>
          <w:kern w:val="0"/>
          <w:sz w:val="24"/>
          <w:szCs w:val="24"/>
        </w:rPr>
      </w:pPr>
      <w:r>
        <w:rPr>
          <w:rFonts w:hint="eastAsia" w:ascii="仿宋" w:hAnsi="仿宋" w:eastAsia="仿宋" w:cs="楷体_GB2312"/>
          <w:b/>
          <w:spacing w:val="0"/>
          <w:sz w:val="32"/>
          <w:szCs w:val="32"/>
        </w:rPr>
        <w:t>3</w:t>
      </w:r>
      <w:r>
        <w:rPr>
          <w:rFonts w:ascii="仿宋" w:hAnsi="仿宋" w:eastAsia="仿宋" w:cs="楷体_GB2312"/>
          <w:b/>
          <w:spacing w:val="0"/>
          <w:sz w:val="32"/>
          <w:szCs w:val="32"/>
        </w:rPr>
        <w:t>.</w:t>
      </w:r>
      <w:r>
        <w:rPr>
          <w:rFonts w:hint="eastAsia" w:ascii="仿宋" w:hAnsi="仿宋" w:eastAsia="仿宋" w:cs="楷体_GB2312"/>
          <w:b/>
          <w:spacing w:val="0"/>
          <w:sz w:val="32"/>
          <w:szCs w:val="32"/>
        </w:rPr>
        <w:t>扶持新办企业。</w:t>
      </w:r>
      <w:r>
        <w:rPr>
          <w:rFonts w:hint="eastAsia" w:ascii="仿宋" w:hAnsi="仿宋" w:eastAsia="仿宋"/>
          <w:spacing w:val="0"/>
          <w:sz w:val="32"/>
          <w:szCs w:val="32"/>
        </w:rPr>
        <w:t>金融、保险、物流、商贸等企业在区内购买、租赁办公用房新办独立纳税分支机构或首次注册机构，自开业经营次年起三年内，按其</w:t>
      </w:r>
      <w:r>
        <w:rPr>
          <w:rFonts w:hint="eastAsia" w:ascii="仿宋" w:hAnsi="仿宋" w:eastAsia="仿宋"/>
          <w:spacing w:val="0"/>
          <w:sz w:val="32"/>
          <w:szCs w:val="32"/>
          <w:lang w:val="en-US" w:eastAsia="zh-CN"/>
        </w:rPr>
        <w:t>形成</w:t>
      </w:r>
      <w:r>
        <w:rPr>
          <w:rFonts w:hint="eastAsia" w:ascii="仿宋" w:hAnsi="仿宋" w:eastAsia="仿宋"/>
          <w:spacing w:val="0"/>
          <w:sz w:val="32"/>
          <w:szCs w:val="32"/>
        </w:rPr>
        <w:t>区级财力的20%给予扶持奖励，年度扶持奖励金额最高不超过50万元。</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4</w:t>
      </w:r>
      <w:r>
        <w:rPr>
          <w:rFonts w:ascii="仿宋" w:hAnsi="仿宋" w:eastAsia="仿宋" w:cs="楷体_GB2312"/>
          <w:b/>
          <w:spacing w:val="0"/>
          <w:sz w:val="32"/>
          <w:szCs w:val="32"/>
        </w:rPr>
        <w:t>.</w:t>
      </w:r>
      <w:r>
        <w:rPr>
          <w:rFonts w:hint="eastAsia" w:ascii="仿宋" w:hAnsi="仿宋" w:eastAsia="仿宋" w:cs="楷体_GB2312"/>
          <w:b/>
          <w:spacing w:val="0"/>
          <w:sz w:val="32"/>
          <w:szCs w:val="32"/>
        </w:rPr>
        <w:t>扶持商务楼宇。</w:t>
      </w:r>
      <w:r>
        <w:rPr>
          <w:rFonts w:hint="eastAsia" w:ascii="仿宋" w:hAnsi="仿宋" w:eastAsia="仿宋"/>
          <w:spacing w:val="0"/>
          <w:sz w:val="32"/>
          <w:szCs w:val="32"/>
        </w:rPr>
        <w:t>当年商业办公实际使用面积达到90%以上，工商注册、税务登记在区内的企业比例达到90%以上的商务楼宇，对协助其开展招商引资、经济普查、数据统计等工作且具有独立法人资质的第三方物业管理机构一次性奖励5万元。单栋楼宇首次年度</w:t>
      </w:r>
      <w:r>
        <w:rPr>
          <w:rFonts w:hint="eastAsia" w:ascii="仿宋" w:hAnsi="仿宋" w:eastAsia="仿宋"/>
          <w:spacing w:val="0"/>
          <w:sz w:val="32"/>
          <w:szCs w:val="32"/>
          <w:lang w:val="en-US" w:eastAsia="zh-CN"/>
        </w:rPr>
        <w:t>形成</w:t>
      </w:r>
      <w:r>
        <w:rPr>
          <w:rFonts w:hint="eastAsia" w:ascii="仿宋" w:hAnsi="仿宋" w:eastAsia="仿宋"/>
          <w:spacing w:val="0"/>
          <w:sz w:val="32"/>
          <w:szCs w:val="32"/>
        </w:rPr>
        <w:t>区级财力1000万元、2000万元、5000万元以上的，分别一次性奖励物业管理机构10万元、20万元、30万元。</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5</w:t>
      </w:r>
      <w:r>
        <w:rPr>
          <w:rFonts w:ascii="仿宋" w:hAnsi="仿宋" w:eastAsia="仿宋" w:cs="楷体_GB2312"/>
          <w:b/>
          <w:spacing w:val="0"/>
          <w:sz w:val="32"/>
          <w:szCs w:val="32"/>
        </w:rPr>
        <w:t>.</w:t>
      </w:r>
      <w:r>
        <w:rPr>
          <w:rFonts w:hint="eastAsia" w:ascii="仿宋" w:hAnsi="仿宋" w:eastAsia="仿宋" w:cs="楷体_GB2312"/>
          <w:b/>
          <w:spacing w:val="0"/>
          <w:sz w:val="32"/>
          <w:szCs w:val="32"/>
        </w:rPr>
        <w:t>开发高档住宅区。</w:t>
      </w:r>
      <w:r>
        <w:rPr>
          <w:rFonts w:hint="eastAsia" w:ascii="仿宋" w:hAnsi="仿宋" w:eastAsia="仿宋"/>
          <w:spacing w:val="0"/>
          <w:sz w:val="32"/>
          <w:szCs w:val="32"/>
        </w:rPr>
        <w:t>引进有实力的投资商、开发商参与开发高档住宅区，建设一批高品质楼盘。</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6</w:t>
      </w:r>
      <w:r>
        <w:rPr>
          <w:rFonts w:ascii="仿宋" w:hAnsi="仿宋" w:eastAsia="仿宋" w:cs="楷体_GB2312"/>
          <w:b/>
          <w:spacing w:val="0"/>
          <w:sz w:val="32"/>
          <w:szCs w:val="32"/>
        </w:rPr>
        <w:t>.</w:t>
      </w:r>
      <w:r>
        <w:rPr>
          <w:rFonts w:hint="eastAsia" w:ascii="仿宋" w:hAnsi="仿宋" w:eastAsia="仿宋" w:cs="楷体_GB2312"/>
          <w:b/>
          <w:spacing w:val="0"/>
          <w:sz w:val="32"/>
          <w:szCs w:val="32"/>
        </w:rPr>
        <w:t>推动重点镇房地产开发。</w:t>
      </w:r>
      <w:r>
        <w:rPr>
          <w:rFonts w:hint="eastAsia" w:ascii="仿宋" w:hAnsi="仿宋" w:eastAsia="仿宋"/>
          <w:spacing w:val="0"/>
          <w:sz w:val="32"/>
          <w:szCs w:val="32"/>
        </w:rPr>
        <w:t>推动集镇商住地产开发，盘活集镇建设用地。自2017年开始区城投公司连续三年每年投入资金1亿元，用于完善基础设施建设，促进乡镇房地产行业发展。</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7</w:t>
      </w:r>
      <w:r>
        <w:rPr>
          <w:rFonts w:ascii="仿宋" w:hAnsi="仿宋" w:eastAsia="仿宋" w:cs="楷体_GB2312"/>
          <w:b/>
          <w:spacing w:val="0"/>
          <w:sz w:val="32"/>
          <w:szCs w:val="32"/>
        </w:rPr>
        <w:t>.</w:t>
      </w:r>
      <w:r>
        <w:rPr>
          <w:rFonts w:hint="eastAsia" w:ascii="仿宋" w:hAnsi="仿宋" w:eastAsia="仿宋" w:cs="楷体_GB2312"/>
          <w:b/>
          <w:spacing w:val="0"/>
          <w:sz w:val="32"/>
          <w:szCs w:val="32"/>
        </w:rPr>
        <w:t>鼓励社会力量参与棚户区改造。</w:t>
      </w:r>
      <w:r>
        <w:rPr>
          <w:rFonts w:hint="eastAsia" w:ascii="仿宋" w:hAnsi="仿宋" w:eastAsia="仿宋"/>
          <w:spacing w:val="0"/>
          <w:sz w:val="32"/>
          <w:szCs w:val="32"/>
        </w:rPr>
        <w:t>在市场准入和扶持政策方面对各类投资主体同等对待，吸引社会资本参与投资和运营棚户区改造项目，加快推进棚户区改造。</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8</w:t>
      </w:r>
      <w:r>
        <w:rPr>
          <w:rFonts w:ascii="仿宋" w:hAnsi="仿宋" w:eastAsia="仿宋" w:cs="楷体_GB2312"/>
          <w:b/>
          <w:spacing w:val="0"/>
          <w:sz w:val="32"/>
          <w:szCs w:val="32"/>
        </w:rPr>
        <w:t>.</w:t>
      </w:r>
      <w:r>
        <w:rPr>
          <w:rFonts w:hint="eastAsia" w:ascii="仿宋" w:hAnsi="仿宋" w:eastAsia="仿宋" w:cs="楷体_GB2312"/>
          <w:b/>
          <w:spacing w:val="0"/>
          <w:sz w:val="32"/>
          <w:szCs w:val="32"/>
        </w:rPr>
        <w:t>打造建筑安装品牌。</w:t>
      </w:r>
      <w:r>
        <w:rPr>
          <w:rFonts w:hint="eastAsia" w:ascii="仿宋" w:hAnsi="仿宋" w:eastAsia="仿宋"/>
          <w:spacing w:val="0"/>
          <w:sz w:val="32"/>
          <w:szCs w:val="32"/>
        </w:rPr>
        <w:t>首次获“特级建安企业”资质证书的企业，一次性奖励50万元；凡当年在区内所建项目获“中国建筑工程鲁班奖”“芙蓉奖”的建安企业，分别一次性奖励10万元、5万元；经认定为国家绿色建筑三星级、二星级、一星级的项目，分别一次性奖励开发投资主体20万元、10万元、5万元。</w:t>
      </w:r>
    </w:p>
    <w:p>
      <w:pPr>
        <w:widowControl w:val="0"/>
        <w:wordWrap/>
        <w:adjustRightInd/>
        <w:snapToGrid/>
        <w:spacing w:line="630" w:lineRule="exact"/>
        <w:ind w:left="0" w:leftChars="0" w:right="0" w:firstLine="640" w:firstLineChars="200"/>
        <w:textAlignment w:val="auto"/>
        <w:outlineLvl w:val="9"/>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（七）金融证券保险业</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1</w:t>
      </w:r>
      <w:r>
        <w:rPr>
          <w:rFonts w:ascii="仿宋" w:hAnsi="仿宋" w:eastAsia="仿宋" w:cs="楷体_GB2312"/>
          <w:b/>
          <w:spacing w:val="0"/>
          <w:sz w:val="32"/>
          <w:szCs w:val="32"/>
        </w:rPr>
        <w:t>.</w:t>
      </w:r>
      <w:r>
        <w:rPr>
          <w:rFonts w:hint="eastAsia" w:ascii="仿宋" w:hAnsi="仿宋" w:eastAsia="仿宋" w:cs="楷体_GB2312"/>
          <w:b/>
          <w:spacing w:val="0"/>
          <w:sz w:val="32"/>
          <w:szCs w:val="32"/>
        </w:rPr>
        <w:t>完善金融服务体系。</w:t>
      </w:r>
      <w:r>
        <w:rPr>
          <w:rFonts w:ascii="仿宋" w:hAnsi="仿宋" w:eastAsia="仿宋"/>
          <w:spacing w:val="0"/>
          <w:sz w:val="32"/>
          <w:szCs w:val="32"/>
        </w:rPr>
        <w:t>积极引进银行、证券、保险、基金</w:t>
      </w:r>
      <w:r>
        <w:rPr>
          <w:rFonts w:hint="eastAsia" w:ascii="仿宋" w:hAnsi="仿宋" w:eastAsia="仿宋"/>
          <w:spacing w:val="0"/>
          <w:sz w:val="32"/>
          <w:szCs w:val="32"/>
        </w:rPr>
        <w:t>等</w:t>
      </w:r>
      <w:r>
        <w:rPr>
          <w:rFonts w:ascii="仿宋" w:hAnsi="仿宋" w:eastAsia="仿宋"/>
          <w:spacing w:val="0"/>
          <w:sz w:val="32"/>
          <w:szCs w:val="32"/>
        </w:rPr>
        <w:t>金融机构入驻，</w:t>
      </w:r>
      <w:r>
        <w:rPr>
          <w:rFonts w:hint="eastAsia" w:ascii="仿宋" w:hAnsi="仿宋" w:eastAsia="仿宋"/>
          <w:spacing w:val="0"/>
          <w:sz w:val="32"/>
          <w:szCs w:val="32"/>
        </w:rPr>
        <w:t>鼓励推动本地大企业集团组建或参与设立各类地方法人</w:t>
      </w:r>
      <w:r>
        <w:rPr>
          <w:rFonts w:ascii="仿宋" w:hAnsi="仿宋" w:eastAsia="仿宋"/>
          <w:spacing w:val="0"/>
          <w:sz w:val="32"/>
          <w:szCs w:val="32"/>
        </w:rPr>
        <w:t>金融机构</w:t>
      </w:r>
      <w:r>
        <w:rPr>
          <w:rFonts w:hint="eastAsia" w:ascii="仿宋" w:hAnsi="仿宋" w:eastAsia="仿宋"/>
          <w:spacing w:val="0"/>
          <w:sz w:val="32"/>
          <w:szCs w:val="32"/>
        </w:rPr>
        <w:t>。对新入驻的金融机构，按照区域总部（指直接隶属于法人金融机构且业务范围涵盖全省及以上的分支机构，含直接隶属于一级法人机构单独设立的业务总部、营运中心、研究中心等）、地方分支机构（指隶属于金融机构区域总部且业务范围涵盖全市及以上的二级分支机构）、纳税在本地的三级分支机构，分别奖励30万元、20万元、5万元。</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hint="eastAsia" w:ascii="仿宋" w:hAnsi="仿宋" w:eastAsia="仿宋" w:cs="楷体_GB2312"/>
          <w:b/>
          <w:spacing w:val="0"/>
          <w:sz w:val="32"/>
          <w:szCs w:val="32"/>
        </w:rPr>
        <w:t>2</w:t>
      </w:r>
      <w:r>
        <w:rPr>
          <w:rFonts w:ascii="仿宋" w:hAnsi="仿宋" w:eastAsia="仿宋" w:cs="楷体_GB2312"/>
          <w:b/>
          <w:spacing w:val="0"/>
          <w:sz w:val="32"/>
          <w:szCs w:val="32"/>
        </w:rPr>
        <w:t>.</w:t>
      </w:r>
      <w:r>
        <w:rPr>
          <w:rFonts w:hint="eastAsia" w:ascii="仿宋" w:hAnsi="仿宋" w:eastAsia="仿宋" w:cs="楷体_GB2312"/>
          <w:b/>
          <w:spacing w:val="0"/>
          <w:sz w:val="32"/>
          <w:szCs w:val="32"/>
        </w:rPr>
        <w:t>加快推进金融创新。</w:t>
      </w:r>
      <w:r>
        <w:rPr>
          <w:rFonts w:hint="eastAsia" w:ascii="仿宋" w:hAnsi="仿宋" w:eastAsia="仿宋" w:cs="楷体_GB2312"/>
          <w:spacing w:val="0"/>
          <w:sz w:val="32"/>
          <w:szCs w:val="32"/>
        </w:rPr>
        <w:t>针对服务业资本密集度较低，知识和</w:t>
      </w:r>
      <w:r>
        <w:rPr>
          <w:rFonts w:hint="eastAsia" w:ascii="仿宋" w:hAnsi="仿宋" w:eastAsia="仿宋"/>
          <w:spacing w:val="0"/>
          <w:sz w:val="32"/>
          <w:szCs w:val="32"/>
        </w:rPr>
        <w:t>信息密集度较高、缺乏有效担保抵押的特征，推动金融机构创新抵押担保方式以及信贷产品，发展知识产权、收益权等抵（质）押业务、税收信用贷款业务。开展政银保业务合作，发展服务业小微企业信用保险、履约保证保险、贷款保证保险等险种，为服务业企业提供增信服务。</w:t>
      </w:r>
    </w:p>
    <w:p>
      <w:pPr>
        <w:widowControl w:val="0"/>
        <w:wordWrap/>
        <w:adjustRightInd/>
        <w:snapToGrid/>
        <w:spacing w:line="630" w:lineRule="exact"/>
        <w:ind w:left="0" w:leftChars="0" w:right="0" w:firstLine="643" w:firstLineChars="200"/>
        <w:textAlignment w:val="auto"/>
        <w:outlineLvl w:val="9"/>
        <w:rPr>
          <w:rFonts w:ascii="仿宋" w:hAnsi="仿宋" w:eastAsia="仿宋"/>
          <w:spacing w:val="0"/>
          <w:sz w:val="32"/>
          <w:szCs w:val="32"/>
        </w:rPr>
      </w:pPr>
      <w:r>
        <w:rPr>
          <w:rFonts w:ascii="仿宋" w:hAnsi="仿宋" w:eastAsia="仿宋" w:cs="楷体_GB2312"/>
          <w:b/>
          <w:spacing w:val="0"/>
          <w:sz w:val="32"/>
          <w:szCs w:val="32"/>
        </w:rPr>
        <w:t>3.</w:t>
      </w:r>
      <w:r>
        <w:rPr>
          <w:rFonts w:hint="eastAsia" w:ascii="仿宋" w:hAnsi="仿宋" w:eastAsia="仿宋" w:cs="楷体_GB2312"/>
          <w:b/>
          <w:spacing w:val="0"/>
          <w:sz w:val="32"/>
          <w:szCs w:val="32"/>
        </w:rPr>
        <w:t>加大信贷支持力度。</w:t>
      </w:r>
      <w:r>
        <w:rPr>
          <w:rFonts w:hint="eastAsia" w:ascii="仿宋" w:hAnsi="仿宋" w:eastAsia="仿宋"/>
          <w:spacing w:val="0"/>
          <w:sz w:val="32"/>
          <w:szCs w:val="32"/>
        </w:rPr>
        <w:t>明确驻区各金融机构年度投放贷款净增目标任务，区财政安排120万元及以上资金用于奖励区内金融机构，同时建立财政性资金开户存储与金融机构信贷投放挂钩的机制。将金融机构投放到我区服务业贷款情况纳入考核范围。中国建设银行赫山支行助保贷业务、区财政创业担保贷款项目向服务业企业倾斜。</w:t>
      </w:r>
    </w:p>
    <w:p>
      <w:pPr>
        <w:widowControl w:val="0"/>
        <w:wordWrap/>
        <w:adjustRightInd/>
        <w:snapToGrid/>
        <w:spacing w:line="630" w:lineRule="exact"/>
        <w:ind w:left="0" w:leftChars="0" w:right="0" w:firstLine="640" w:firstLineChars="200"/>
        <w:textAlignment w:val="auto"/>
        <w:outlineLvl w:val="9"/>
        <w:rPr>
          <w:rFonts w:ascii="黑体" w:hAnsi="黑体" w:eastAsia="黑体"/>
          <w:bCs/>
          <w:spacing w:val="0"/>
          <w:sz w:val="32"/>
          <w:szCs w:val="32"/>
        </w:rPr>
      </w:pPr>
      <w:r>
        <w:rPr>
          <w:rFonts w:hint="eastAsia" w:ascii="黑体" w:hAnsi="黑体" w:eastAsia="黑体"/>
          <w:bCs/>
          <w:spacing w:val="0"/>
          <w:sz w:val="32"/>
          <w:szCs w:val="32"/>
        </w:rPr>
        <w:t>二、加强现代服务业发展的组织领导</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（一）由区产业发展办公室具体负责全区加快发展现代服务业的相关组织协调工作。</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（二）对全区现代服务业重点企业实行“一企一策”，重点问题实行“一事一议”，由区产业发展领导小组进行研究解决。</w:t>
      </w:r>
    </w:p>
    <w:p>
      <w:pPr>
        <w:widowControl w:val="0"/>
        <w:wordWrap/>
        <w:adjustRightInd/>
        <w:snapToGrid/>
        <w:spacing w:line="630" w:lineRule="exact"/>
        <w:ind w:left="0" w:leftChars="0" w:right="0" w:firstLine="640" w:firstLineChars="200"/>
        <w:textAlignment w:val="auto"/>
        <w:outlineLvl w:val="9"/>
        <w:rPr>
          <w:rFonts w:ascii="黑体" w:hAnsi="黑体" w:eastAsia="黑体"/>
          <w:bCs/>
          <w:spacing w:val="0"/>
          <w:sz w:val="32"/>
          <w:szCs w:val="32"/>
        </w:rPr>
      </w:pPr>
      <w:r>
        <w:rPr>
          <w:rFonts w:hint="eastAsia" w:ascii="黑体" w:hAnsi="黑体" w:eastAsia="黑体"/>
          <w:bCs/>
          <w:spacing w:val="0"/>
          <w:sz w:val="32"/>
          <w:szCs w:val="32"/>
        </w:rPr>
        <w:t>三、明确落实扶持奖励措施的相关要求</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（一）</w:t>
      </w:r>
      <w:r>
        <w:rPr>
          <w:rFonts w:hint="eastAsia" w:ascii="仿宋" w:hAnsi="仿宋" w:eastAsia="仿宋"/>
          <w:spacing w:val="0"/>
          <w:sz w:val="32"/>
          <w:szCs w:val="32"/>
          <w:lang w:val="en-US" w:eastAsia="zh-CN"/>
        </w:rPr>
        <w:t>区财政设立产业扶持引导专项资金。</w:t>
      </w:r>
      <w:r>
        <w:rPr>
          <w:rFonts w:hint="eastAsia" w:ascii="仿宋" w:hAnsi="仿宋" w:eastAsia="仿宋"/>
          <w:spacing w:val="0"/>
          <w:sz w:val="32"/>
          <w:szCs w:val="32"/>
        </w:rPr>
        <w:t>符合国家、省、市产业扶持政策，又适用本实施意见的，一律先执行上级相关政策。若本实施意见的扶持奖励措施比上级相关政策的力度更大，则在执行上级相关政策后，其差额部分继续予以落实，但不得重复享受优惠政策。</w:t>
      </w:r>
    </w:p>
    <w:p>
      <w:pPr>
        <w:widowControl w:val="0"/>
        <w:wordWrap/>
        <w:adjustRightInd/>
        <w:snapToGrid/>
        <w:spacing w:line="630" w:lineRule="exact"/>
        <w:ind w:left="0" w:leftChars="0" w:right="0" w:firstLine="640" w:firstLineChars="200"/>
        <w:textAlignment w:val="auto"/>
        <w:outlineLvl w:val="9"/>
        <w:rPr>
          <w:rFonts w:ascii="仿宋" w:hAnsi="仿宋" w:eastAsia="仿宋"/>
          <w:spacing w:val="0"/>
          <w:sz w:val="32"/>
          <w:szCs w:val="32"/>
        </w:rPr>
      </w:pPr>
      <w:r>
        <w:rPr>
          <w:rFonts w:hint="eastAsia" w:ascii="仿宋" w:hAnsi="仿宋" w:eastAsia="仿宋"/>
          <w:spacing w:val="0"/>
          <w:sz w:val="32"/>
          <w:szCs w:val="32"/>
        </w:rPr>
        <w:t>（二）本实施意见扶持对象应遵守国家、省、市、区的相关法律法规和政策规定。凡不符合城市建设规划的项目，或者不符合产业准入政策的项目，不予扶持奖励。凡发生违反税法</w:t>
      </w:r>
      <w:r>
        <w:rPr>
          <w:rFonts w:hint="eastAsia" w:ascii="仿宋" w:hAnsi="仿宋" w:eastAsia="仿宋"/>
          <w:spacing w:val="0"/>
          <w:sz w:val="32"/>
          <w:szCs w:val="32"/>
          <w:lang w:val="en-US" w:eastAsia="zh-CN"/>
        </w:rPr>
        <w:t>等</w:t>
      </w:r>
      <w:r>
        <w:rPr>
          <w:rFonts w:hint="eastAsia" w:ascii="仿宋" w:hAnsi="仿宋" w:eastAsia="仿宋"/>
          <w:spacing w:val="0"/>
          <w:sz w:val="32"/>
          <w:szCs w:val="32"/>
        </w:rPr>
        <w:t>法律法规的行为，或者因安全生产、产品质量等造成不良社会影响较为严重的，当年不予扶持奖励。</w:t>
      </w:r>
    </w:p>
    <w:p>
      <w:pPr>
        <w:widowControl w:val="0"/>
        <w:wordWrap/>
        <w:adjustRightInd/>
        <w:snapToGrid/>
        <w:spacing w:line="630" w:lineRule="exact"/>
        <w:ind w:left="0" w:leftChars="0" w:right="0" w:firstLine="640" w:firstLineChars="200"/>
        <w:textAlignment w:val="auto"/>
        <w:outlineLvl w:val="9"/>
        <w:rPr>
          <w:rFonts w:hint="eastAsia" w:ascii="仿宋" w:hAnsi="仿宋" w:eastAsia="仿宋"/>
          <w:spacing w:val="0"/>
          <w:sz w:val="32"/>
          <w:szCs w:val="32"/>
        </w:rPr>
      </w:pPr>
      <w:r>
        <w:rPr>
          <w:rFonts w:hint="eastAsia" w:ascii="仿宋" w:hAnsi="仿宋" w:eastAsia="仿宋"/>
          <w:spacing w:val="0"/>
          <w:sz w:val="32"/>
          <w:szCs w:val="32"/>
        </w:rPr>
        <w:t>（三）本实施意见自发布之日起施行。实施过程中如遇上级重大政策性变化，相应予以调整。</w:t>
      </w:r>
    </w:p>
    <w:p>
      <w:pPr>
        <w:widowControl w:val="0"/>
        <w:wordWrap/>
        <w:adjustRightInd/>
        <w:snapToGrid/>
        <w:spacing w:line="630" w:lineRule="exact"/>
        <w:ind w:left="0" w:leftChars="0" w:right="0" w:firstLine="640" w:firstLineChars="200"/>
        <w:textAlignment w:val="auto"/>
        <w:outlineLvl w:val="9"/>
        <w:rPr>
          <w:rFonts w:hint="eastAsia" w:ascii="仿宋" w:hAnsi="仿宋" w:eastAsia="仿宋"/>
          <w:spacing w:val="0"/>
          <w:sz w:val="32"/>
          <w:szCs w:val="32"/>
        </w:rPr>
      </w:pPr>
    </w:p>
    <w:p>
      <w:pPr>
        <w:widowControl w:val="0"/>
        <w:wordWrap/>
        <w:adjustRightInd/>
        <w:snapToGrid/>
        <w:spacing w:line="630" w:lineRule="exact"/>
        <w:ind w:left="0" w:leftChars="0" w:right="0" w:firstLine="640" w:firstLineChars="200"/>
        <w:textAlignment w:val="auto"/>
        <w:outlineLvl w:val="9"/>
        <w:rPr>
          <w:rFonts w:hint="eastAsia" w:ascii="仿宋" w:hAnsi="仿宋" w:eastAsia="仿宋"/>
          <w:spacing w:val="0"/>
          <w:sz w:val="32"/>
          <w:szCs w:val="32"/>
        </w:rPr>
      </w:pPr>
    </w:p>
    <w:p>
      <w:pPr>
        <w:widowControl w:val="0"/>
        <w:wordWrap/>
        <w:adjustRightInd/>
        <w:snapToGrid/>
        <w:spacing w:line="630" w:lineRule="exact"/>
        <w:ind w:left="0" w:leftChars="0" w:right="0" w:firstLine="3718" w:firstLineChars="1162"/>
        <w:jc w:val="center"/>
        <w:textAlignment w:val="auto"/>
        <w:outlineLvl w:val="9"/>
        <w:rPr>
          <w:rFonts w:hint="eastAsia" w:ascii="仿宋" w:hAnsi="仿宋" w:eastAsia="仿宋"/>
          <w:spacing w:val="0"/>
          <w:sz w:val="32"/>
          <w:szCs w:val="32"/>
          <w:lang w:val="en-US" w:eastAsia="zh-CN"/>
        </w:rPr>
      </w:pPr>
      <w:r>
        <w:rPr>
          <w:rFonts w:hint="eastAsia" w:ascii="仿宋" w:hAnsi="仿宋" w:eastAsia="仿宋"/>
          <w:spacing w:val="0"/>
          <w:sz w:val="32"/>
          <w:szCs w:val="32"/>
          <w:lang w:val="en-US" w:eastAsia="zh-CN"/>
        </w:rPr>
        <w:t>益阳市赫山区人民政府</w:t>
      </w:r>
    </w:p>
    <w:p>
      <w:pPr>
        <w:widowControl w:val="0"/>
        <w:wordWrap/>
        <w:adjustRightInd/>
        <w:snapToGrid/>
        <w:spacing w:line="630" w:lineRule="exact"/>
        <w:ind w:left="0" w:leftChars="0" w:right="0" w:firstLine="3718" w:firstLineChars="1162"/>
        <w:jc w:val="center"/>
        <w:textAlignment w:val="auto"/>
        <w:outlineLvl w:val="9"/>
        <w:rPr>
          <w:rFonts w:hint="eastAsia" w:ascii="仿宋" w:hAnsi="仿宋" w:eastAsia="仿宋"/>
          <w:spacing w:val="0"/>
          <w:sz w:val="32"/>
          <w:szCs w:val="32"/>
          <w:lang w:val="en-US" w:eastAsia="zh-CN"/>
        </w:rPr>
      </w:pPr>
      <w:r>
        <w:rPr>
          <w:rFonts w:hint="eastAsia" w:ascii="仿宋" w:hAnsi="仿宋" w:eastAsia="仿宋"/>
          <w:spacing w:val="0"/>
          <w:sz w:val="32"/>
          <w:szCs w:val="32"/>
          <w:lang w:val="en-US" w:eastAsia="zh-CN"/>
        </w:rPr>
        <w:t>2017年10月23日</w:t>
      </w:r>
    </w:p>
    <w:p>
      <w:pPr>
        <w:widowControl w:val="0"/>
        <w:wordWrap/>
        <w:adjustRightInd/>
        <w:snapToGrid/>
        <w:spacing w:line="630" w:lineRule="exact"/>
        <w:ind w:left="0" w:leftChars="0" w:right="0" w:firstLine="640" w:firstLineChars="200"/>
        <w:textAlignment w:val="auto"/>
        <w:outlineLvl w:val="9"/>
        <w:rPr>
          <w:rFonts w:hint="eastAsia" w:ascii="仿宋" w:hAnsi="仿宋" w:eastAsia="仿宋"/>
          <w:spacing w:val="0"/>
          <w:sz w:val="32"/>
          <w:szCs w:val="32"/>
          <w:lang w:val="en-US" w:eastAsia="zh-CN"/>
        </w:rPr>
      </w:pPr>
      <w:r>
        <w:rPr>
          <w:rFonts w:hint="eastAsia" w:ascii="仿宋" w:hAnsi="仿宋" w:eastAsia="仿宋"/>
          <w:spacing w:val="0"/>
          <w:sz w:val="32"/>
          <w:szCs w:val="32"/>
          <w:lang w:val="en-US" w:eastAsia="zh-CN"/>
        </w:rPr>
        <w:t>（此件主动公开）</w:t>
      </w: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600" w:lineRule="exact"/>
        <w:rPr>
          <w:rFonts w:hint="eastAsia" w:ascii="仿宋" w:hAnsi="仿宋" w:eastAsia="仿宋"/>
          <w:spacing w:val="0"/>
          <w:sz w:val="32"/>
          <w:szCs w:val="32"/>
          <w:lang w:val="en-US" w:eastAsia="zh-CN"/>
        </w:rPr>
      </w:pPr>
    </w:p>
    <w:p>
      <w:pPr>
        <w:spacing w:line="500" w:lineRule="exact"/>
        <w:rPr>
          <w:rFonts w:ascii="仿宋_GB2312" w:eastAsia="仿宋_GB2312"/>
          <w:spacing w:val="0"/>
          <w:sz w:val="32"/>
          <w:szCs w:val="32"/>
        </w:rPr>
      </w:pPr>
    </w:p>
    <w:p>
      <w:pPr>
        <w:spacing w:line="600" w:lineRule="exact"/>
        <w:ind w:right="641"/>
        <w:rPr>
          <w:rFonts w:ascii="仿宋" w:hAnsi="仿宋" w:eastAsia="仿宋"/>
          <w:b/>
          <w:bCs/>
          <w:spacing w:val="0"/>
          <w:sz w:val="32"/>
          <w:szCs w:val="32"/>
        </w:rPr>
      </w:pPr>
    </w:p>
    <w:p>
      <w:pPr>
        <w:widowControl/>
        <w:wordWrap/>
        <w:adjustRightInd w:val="0"/>
        <w:snapToGrid w:val="0"/>
        <w:spacing w:after="0" w:line="600" w:lineRule="exact"/>
        <w:ind w:left="0" w:leftChars="0" w:right="90" w:firstLine="279" w:firstLineChars="127"/>
        <w:jc w:val="left"/>
        <w:textAlignment w:val="auto"/>
        <w:outlineLvl w:val="9"/>
        <w:rPr>
          <w:rFonts w:ascii="仿宋" w:hAnsi="仿宋" w:eastAsia="仿宋" w:cs="仿宋"/>
          <w:spacing w:val="0"/>
          <w:sz w:val="28"/>
          <w:szCs w:val="28"/>
        </w:rPr>
      </w:pPr>
      <w:r>
        <w:rPr>
          <w:rFonts w:ascii="Calibri" w:hAnsi="Calibri" w:eastAsia="宋体" w:cs="黑体"/>
          <w:spacing w:val="0"/>
          <w:kern w:val="2"/>
          <w:sz w:val="22"/>
          <w:szCs w:val="22"/>
          <w:lang w:val="en-US" w:eastAsia="zh-CN" w:bidi="ar-SA"/>
        </w:rPr>
        <w:pict>
          <v:group id="组合 5" o:spid="_x0000_s1027" style="position:absolute;left:0;margin-left:3.8pt;margin-top:0.75pt;height:60.95pt;width:437.6pt;rotation:0f;z-index:251658240;" coordorigin="0,0" coordsize="8752,1219">
            <o:lock v:ext="edit" position="f" selection="f" grouping="f" rotation="f" cropping="f" text="f" aspectratio="f"/>
            <v:line id="Line 2" o:spid="_x0000_s1028" style="position:absolute;left:0;top:0;height:1;width:8753;rotation:0f;" o:ole="f" fillcolor="#FFFFFF" filled="f" o:preferrelative="t" stroked="t" coordsize="21600,21600">
              <v:fill on="f" color2="#FFFFFF" focus="0%"/>
              <v:stroke weight="1.25pt" color="#000000" color2="#FFFFFF" miterlimit="2"/>
              <v:imagedata gain="65536f" blacklevel="0f" gamma="0"/>
              <o:lock v:ext="edit" position="f" selection="f" grouping="f" rotation="f" cropping="f" text="f" aspectratio="f"/>
            </v:line>
            <v:line id="Line 3" o:spid="_x0000_s1029" style="position:absolute;left:0;top:624;flip:y;height:1;width:8753;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Line 4" o:spid="_x0000_s1030" style="position:absolute;left:0;top:1219;flip:y;height:1;width:8753;rotation:0f;" o:ole="f" fillcolor="#FFFFFF" filled="f" o:preferrelative="t" stroked="t" coordsize="21600,21600">
              <v:fill on="f" color2="#FFFFFF" focus="0%"/>
              <v:stroke weight="1.25pt" color="#000000" color2="#FFFFFF" miterlimit="2"/>
              <v:imagedata gain="65536f" blacklevel="0f" gamma="0"/>
              <o:lock v:ext="edit" position="f" selection="f" grouping="f" rotation="f" cropping="f" text="f" aspectratio="f"/>
            </v:line>
          </v:group>
        </w:pict>
      </w:r>
      <w:r>
        <w:rPr>
          <w:rFonts w:hint="eastAsia" w:ascii="仿宋" w:hAnsi="仿宋" w:eastAsia="仿宋" w:cs="仿宋"/>
          <w:spacing w:val="0"/>
          <w:sz w:val="28"/>
          <w:szCs w:val="28"/>
        </w:rPr>
        <w:t>抄送：区委，区人大，区政协。</w:t>
      </w:r>
      <w:r>
        <w:rPr>
          <w:rFonts w:ascii="仿宋" w:hAnsi="仿宋" w:eastAsia="仿宋" w:cs="仿宋"/>
          <w:spacing w:val="0"/>
          <w:sz w:val="28"/>
          <w:szCs w:val="28"/>
        </w:rPr>
        <w:t xml:space="preserve">       </w:t>
      </w:r>
    </w:p>
    <w:p>
      <w:pPr>
        <w:widowControl/>
        <w:wordWrap/>
        <w:adjustRightInd w:val="0"/>
        <w:snapToGrid w:val="0"/>
        <w:spacing w:after="0" w:line="600" w:lineRule="exact"/>
        <w:ind w:left="0" w:leftChars="0" w:right="-90" w:firstLine="280" w:firstLineChars="100"/>
        <w:jc w:val="left"/>
        <w:textAlignment w:val="auto"/>
        <w:outlineLvl w:val="9"/>
        <w:rPr>
          <w:rFonts w:hint="eastAsia" w:ascii="仿宋" w:hAnsi="仿宋" w:eastAsia="仿宋"/>
          <w:spacing w:val="0"/>
          <w:sz w:val="32"/>
          <w:szCs w:val="32"/>
          <w:lang w:val="en-US" w:eastAsia="zh-CN"/>
        </w:rPr>
      </w:pPr>
      <w:r>
        <w:rPr>
          <w:rFonts w:hint="eastAsia" w:ascii="仿宋" w:hAnsi="仿宋" w:eastAsia="仿宋"/>
          <w:spacing w:val="0"/>
          <w:sz w:val="28"/>
          <w:szCs w:val="28"/>
        </w:rPr>
        <w:t>益阳市赫山区人民政府办公室</w:t>
      </w:r>
      <w:r>
        <w:rPr>
          <w:rFonts w:ascii="仿宋" w:hAnsi="仿宋" w:eastAsia="仿宋"/>
          <w:spacing w:val="0"/>
          <w:sz w:val="28"/>
          <w:szCs w:val="28"/>
        </w:rPr>
        <w:t xml:space="preserve">             2017</w:t>
      </w:r>
      <w:r>
        <w:rPr>
          <w:rFonts w:hint="eastAsia" w:ascii="仿宋" w:hAnsi="仿宋" w:eastAsia="仿宋"/>
          <w:spacing w:val="0"/>
          <w:sz w:val="28"/>
          <w:szCs w:val="28"/>
        </w:rPr>
        <w:t>年</w:t>
      </w:r>
      <w:r>
        <w:rPr>
          <w:rFonts w:hint="eastAsia" w:ascii="仿宋" w:hAnsi="仿宋" w:eastAsia="仿宋"/>
          <w:spacing w:val="0"/>
          <w:sz w:val="28"/>
          <w:szCs w:val="28"/>
          <w:lang w:val="en-US" w:eastAsia="zh-CN"/>
        </w:rPr>
        <w:t>10</w:t>
      </w:r>
      <w:r>
        <w:rPr>
          <w:rFonts w:hint="eastAsia" w:ascii="仿宋" w:hAnsi="仿宋" w:eastAsia="仿宋"/>
          <w:spacing w:val="0"/>
          <w:sz w:val="28"/>
          <w:szCs w:val="28"/>
        </w:rPr>
        <w:t>月</w:t>
      </w:r>
      <w:r>
        <w:rPr>
          <w:rFonts w:hint="eastAsia" w:ascii="仿宋" w:hAnsi="仿宋" w:eastAsia="仿宋"/>
          <w:spacing w:val="0"/>
          <w:sz w:val="28"/>
          <w:szCs w:val="28"/>
          <w:lang w:val="en-US" w:eastAsia="zh-CN"/>
        </w:rPr>
        <w:t>23</w:t>
      </w:r>
      <w:r>
        <w:rPr>
          <w:rFonts w:hint="eastAsia" w:ascii="仿宋" w:hAnsi="仿宋" w:eastAsia="仿宋"/>
          <w:spacing w:val="0"/>
          <w:sz w:val="28"/>
          <w:szCs w:val="28"/>
        </w:rPr>
        <w:t>日印发</w:t>
      </w:r>
    </w:p>
    <w:sectPr>
      <w:footerReference r:id="rId4" w:type="default"/>
      <w:pgSz w:w="11906" w:h="16838"/>
      <w:pgMar w:top="2098" w:right="1474" w:bottom="1984" w:left="1587" w:header="851" w:footer="1417"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rPr>
        <w:rFonts w:ascii="Calibri" w:hAnsi="Calibri" w:eastAsia="宋体" w:cs="黑体"/>
        <w:kern w:val="2"/>
        <w:sz w:val="18"/>
        <w:szCs w:val="22"/>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2"/>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dit="readOnly" w:enforcement="1" w:cryptProviderType="rsaFull" w:cryptAlgorithmClass="hash" w:cryptAlgorithmType="typeAny" w:cryptAlgorithmSid="4" w:cryptSpinCount="0" w:hash="QYXXkXp7I2+C/9jHWk0e8QiaRA4=" w:salt="52zifMywIaAc3a/51Xtcbw=="/>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FA12F70"/>
    <w:rsid w:val="00103409"/>
    <w:rsid w:val="00136A37"/>
    <w:rsid w:val="001A2ACE"/>
    <w:rsid w:val="00367824"/>
    <w:rsid w:val="003B06E0"/>
    <w:rsid w:val="004D3265"/>
    <w:rsid w:val="005B2ABB"/>
    <w:rsid w:val="007B3A16"/>
    <w:rsid w:val="007F6785"/>
    <w:rsid w:val="008B70D3"/>
    <w:rsid w:val="00A1208E"/>
    <w:rsid w:val="00AD6964"/>
    <w:rsid w:val="00B30D31"/>
    <w:rsid w:val="00BE4728"/>
    <w:rsid w:val="00D249DB"/>
    <w:rsid w:val="00E20B53"/>
    <w:rsid w:val="00E83345"/>
    <w:rsid w:val="00F37C89"/>
    <w:rsid w:val="00FA5131"/>
    <w:rsid w:val="00FB6723"/>
    <w:rsid w:val="00FD6B81"/>
    <w:rsid w:val="0AAF176C"/>
    <w:rsid w:val="0CC335FF"/>
    <w:rsid w:val="12920887"/>
    <w:rsid w:val="13560678"/>
    <w:rsid w:val="16A44534"/>
    <w:rsid w:val="19531DEC"/>
    <w:rsid w:val="1CBB3028"/>
    <w:rsid w:val="1D5929B3"/>
    <w:rsid w:val="1FE33258"/>
    <w:rsid w:val="202074A4"/>
    <w:rsid w:val="2D3B2645"/>
    <w:rsid w:val="3201709B"/>
    <w:rsid w:val="35B1591D"/>
    <w:rsid w:val="36E94025"/>
    <w:rsid w:val="3AC613DE"/>
    <w:rsid w:val="43467FBD"/>
    <w:rsid w:val="45D04998"/>
    <w:rsid w:val="47DD11F5"/>
    <w:rsid w:val="48F30D3D"/>
    <w:rsid w:val="4CC90409"/>
    <w:rsid w:val="4EE6167D"/>
    <w:rsid w:val="524C4741"/>
    <w:rsid w:val="55591611"/>
    <w:rsid w:val="59B36D38"/>
    <w:rsid w:val="5B560610"/>
    <w:rsid w:val="5EF264B2"/>
    <w:rsid w:val="60893100"/>
    <w:rsid w:val="631F7CAE"/>
    <w:rsid w:val="6A4836A2"/>
    <w:rsid w:val="6BA03FB1"/>
    <w:rsid w:val="6FA12F70"/>
    <w:rsid w:val="7FD4084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link w:val="5"/>
    <w:unhideWhenUsed/>
    <w:uiPriority w:val="1"/>
    <w:rPr>
      <w:rFonts w:ascii="Verdana" w:hAnsi="Verdana" w:cs="Verdana"/>
      <w:sz w:val="24"/>
      <w:szCs w:val="24"/>
      <w:lang w:eastAsia="en-US"/>
    </w:rPr>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5">
    <w:name w:val="Char1"/>
    <w:basedOn w:val="1"/>
    <w:link w:val="4"/>
    <w:uiPriority w:val="0"/>
    <w:pPr>
      <w:widowControl/>
      <w:spacing w:after="160" w:line="240" w:lineRule="exact"/>
      <w:jc w:val="left"/>
    </w:pPr>
    <w:rPr>
      <w:rFonts w:ascii="Verdana" w:hAnsi="Verdana" w:cs="Verdana"/>
      <w:sz w:val="24"/>
      <w:szCs w:val="24"/>
      <w:lang w:eastAsia="en-US"/>
    </w:rPr>
  </w:style>
  <w:style w:type="character" w:styleId="6">
    <w:name w:val="page number"/>
    <w:basedOn w:val="4"/>
    <w:uiPriority w:val="0"/>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919</Words>
  <Characters>5240</Characters>
  <Lines>43</Lines>
  <Paragraphs>12</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2017-09-12T01:00:00Z</dcterms:created>
  <dc:creator>pc11</dc:creator>
  <cp:lastModifiedBy>P&amp;G</cp:lastModifiedBy>
  <cp:lastPrinted>2017-10-24T06:40:01Z</cp:lastPrinted>
  <dcterms:modified xsi:type="dcterms:W3CDTF">2017-10-24T07:01:53Z</dcterms:modified>
  <dc:title>益阳市赫山区人民政府　　_x000b_关于促进现代服务业发展的实施意见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