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赫山区扶贫办</w:t>
      </w:r>
      <w:r>
        <w:rPr>
          <w:rFonts w:hint="eastAsia" w:ascii="方正小标宋简体" w:eastAsia="方正小标宋简体"/>
          <w:sz w:val="44"/>
          <w:szCs w:val="44"/>
        </w:rPr>
        <w:t>项目支出绩效评价报告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项目基本情况</w:t>
      </w:r>
    </w:p>
    <w:p>
      <w:pPr>
        <w:pStyle w:val="8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项目基本情况简介</w:t>
      </w:r>
    </w:p>
    <w:p>
      <w:pPr>
        <w:pStyle w:val="8"/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度各级各部门共安排赫山区扶贫办财政专项扶贫项目资金3642.5265万元（上级专项扶贫项目资金2245.6万元，赫山区本级专项扶贫项目资金1396.9265万元），其中基础设施建设资金241.75万元；产业扶贫资金250万元；易地扶贫搬迁资金366.1万元；小额信贷贴息资金253万元；危房改造补贴资金868万元；金融服务站建设资金2.5万元；小额信贷风险补偿金500万元；光伏扶贫资金252万元；脱贫攻坚专项经费153万元；扶贫特惠保险288万元；小额信贷奖励资金28.9265万元；雨露计划资金204.25万元；安化驻村帮扶资金235万元。</w:t>
      </w:r>
    </w:p>
    <w:p>
      <w:pPr>
        <w:pStyle w:val="8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绩效目标设定及指标完成情况。</w:t>
      </w:r>
    </w:p>
    <w:p>
      <w:pPr>
        <w:pStyle w:val="9"/>
        <w:widowControl w:val="0"/>
        <w:spacing w:line="580" w:lineRule="exact"/>
        <w:ind w:firstLine="420" w:firstLineChars="200"/>
        <w:rPr>
          <w:rFonts w:hint="eastAsia" w:eastAsia="仿宋_GB2312"/>
          <w:sz w:val="32"/>
        </w:rPr>
      </w:pPr>
      <w:r>
        <w:rPr>
          <w:rFonts w:hint="eastAsia" w:ascii="仿宋_GB2312"/>
          <w:szCs w:val="32"/>
        </w:rPr>
        <w:t xml:space="preserve">  </w:t>
      </w:r>
      <w:r>
        <w:rPr>
          <w:rFonts w:hint="eastAsia" w:eastAsia="仿宋_GB2312"/>
          <w:sz w:val="32"/>
        </w:rPr>
        <w:t>2017年全区共有建档立卡贫困人口16606户，50442人，年初设定目标任务本年度预计脱贫9656人，1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个贫困村退出。经省2017年度脱贫攻坚工作考核验收，确定我区人口脱贫9692人，1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个贫困村顺利退出，圆满完成了年度 脱贫攻坚工作任务。2017年度省考核结果排名我区为二类县市区中较好类的第一名，全市排名第一。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 xml:space="preserve">  根据益阳市委、市政府《关于加强扶贫协作和对口支援工作的实施意见》（益办发[2017]5号）文件精神，赫山区对口联系安化县清塘铺镇，重点帮扶石溪村。2017-2019年三年援助资金总投入不少于500万元，保障扶贫协作和对口支援财政投入；确保石溪村2018年顺利退出。2017年共投入资金235万元；全部用于安化石溪村精准扶贫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赫山区被评为益阳市扶贫协作和对口支援工作先进单位。</w:t>
      </w:r>
    </w:p>
    <w:p>
      <w:pPr>
        <w:spacing w:line="56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二、绩效评价工作情况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（一）绩效评价目的。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为进一步规范财政专项扶贫资金管理，牢固树立预算绩效理念，提高财政资金使用效益，专款专用，确保专项扶贫资金惠及贫困村、贫困户，助力贫困户脱贫，贫困村退出。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（二）项目资金落实、总投入等情况，项目资金（主要指财政资金）实际使用等情况。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 2017年度共投入专项扶贫资金3642.5265万元。上级专项资金2245.6万元；本级专项资金1396.9265万元。项目资金目前为止实际支出3491.3473万元，结转结余151.1792万元。详细使用情况如下：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财政预算安排基础设施建设资金241.75万元，实际支出241.75万元。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财政预算安排产业扶贫资金250万元，实际支出250万元。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财政预算安排易地扶贫搬迁资金366.1万元，实际支出366.1万元。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财政预算安排小额信贷贴息资金253万元，实际支出253万元。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财政预算安排危房改造补助资金868万元，实际支出868万元。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财政预算安排金融服务站建设资金2.5万元，实际支出0元。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财政预算安排小额信贷风险补偿金500万元，实际支出500万元。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财政预算安排光伏扶贫资金252万元，实际支出134.4万元。结转资金117.6万元，项目验收合格后再支付。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财政预算安排脱贫攻坚专项经费153万元，实际支出153万元。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财政预算安排扶贫特惠保288万元，实际支出277.047万元，结余10.953万元。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财政预算安排小额信贷奖励资金28.9265万元，实际支出17.3559元，结转资金11.5706万元。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雨露计划资金204.25万元，实际支出204.25万元。</w:t>
      </w:r>
    </w:p>
    <w:p>
      <w:pPr>
        <w:pStyle w:val="8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安化驻村帮扶资金235万元，实际支出226.4444元，结转资金8.5556万元。</w:t>
      </w:r>
    </w:p>
    <w:p>
      <w:pPr>
        <w:pStyle w:val="8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项目组织情况</w:t>
      </w:r>
    </w:p>
    <w:p>
      <w:pPr>
        <w:spacing w:line="560" w:lineRule="exact"/>
        <w:ind w:firstLine="1440" w:firstLineChars="4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扶贫资金项目选择，</w:t>
      </w:r>
      <w:r>
        <w:rPr>
          <w:rFonts w:hint="eastAsia" w:ascii="仿宋_GB2312" w:eastAsia="仿宋_GB2312"/>
          <w:sz w:val="32"/>
          <w:szCs w:val="32"/>
          <w:lang w:eastAsia="zh-CN"/>
        </w:rPr>
        <w:t>在镇村统筹安排的情况下，</w:t>
      </w:r>
      <w:r>
        <w:rPr>
          <w:rFonts w:hint="eastAsia" w:ascii="仿宋_GB2312" w:eastAsia="仿宋_GB2312"/>
          <w:sz w:val="32"/>
          <w:szCs w:val="32"/>
        </w:rPr>
        <w:t>充分尊重贫困群众意</w:t>
      </w:r>
      <w:r>
        <w:rPr>
          <w:rFonts w:hint="eastAsia" w:ascii="仿宋_GB2312" w:eastAsia="仿宋_GB2312"/>
          <w:sz w:val="32"/>
          <w:szCs w:val="32"/>
          <w:lang w:eastAsia="zh-CN"/>
        </w:rPr>
        <w:t>见</w:t>
      </w:r>
      <w:r>
        <w:rPr>
          <w:rFonts w:hint="eastAsia" w:ascii="仿宋_GB2312" w:eastAsia="仿宋_GB2312"/>
          <w:sz w:val="32"/>
          <w:szCs w:val="32"/>
        </w:rPr>
        <w:t>，优先</w:t>
      </w:r>
      <w:r>
        <w:rPr>
          <w:rFonts w:hint="eastAsia" w:ascii="仿宋_GB2312" w:eastAsia="仿宋_GB2312"/>
          <w:sz w:val="32"/>
          <w:szCs w:val="32"/>
          <w:lang w:eastAsia="zh-CN"/>
        </w:rPr>
        <w:t>考虑</w:t>
      </w:r>
      <w:r>
        <w:rPr>
          <w:rFonts w:hint="eastAsia" w:ascii="仿宋_GB2312" w:eastAsia="仿宋_GB2312"/>
          <w:sz w:val="32"/>
          <w:szCs w:val="32"/>
        </w:rPr>
        <w:t>贫困人口参与积极性高、意愿强烈的扶贫项目。扶贫项目实施严格按照《赫山区财政专项扶贫资金管理暂行办法》（益赫政办发[2017]53号）文件执行。项目需要</w:t>
      </w:r>
      <w:r>
        <w:rPr>
          <w:rFonts w:hint="eastAsia" w:ascii="仿宋_GB2312" w:hAnsi="宋体" w:eastAsia="仿宋_GB2312" w:cs="宋体"/>
          <w:sz w:val="32"/>
          <w:szCs w:val="32"/>
        </w:rPr>
        <w:t>进行招投标的严格按程序进行，确定中标单位。项目实施完成后，再进行专项验收，确保扶贫资金项目真正落到实处，真正惠及贫困村、贫困户。</w:t>
      </w:r>
    </w:p>
    <w:p>
      <w:pPr>
        <w:pStyle w:val="8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项目管理情况</w:t>
      </w:r>
    </w:p>
    <w:p>
      <w:pPr>
        <w:spacing w:line="560" w:lineRule="exact"/>
        <w:ind w:firstLine="640" w:firstLineChars="200"/>
        <w:jc w:val="both"/>
        <w:rPr>
          <w:rFonts w:ascii="仿宋_GB2312"/>
          <w:szCs w:val="32"/>
        </w:rPr>
      </w:pPr>
      <w:r>
        <w:rPr>
          <w:rFonts w:hint="eastAsia" w:ascii="仿宋_GB2312" w:eastAsia="仿宋_GB2312"/>
          <w:sz w:val="32"/>
          <w:szCs w:val="32"/>
        </w:rPr>
        <w:t>扶贫资金项目报账严格按照《赫山区财政专项扶贫资金报账实施细则》（益赫扶联发[2017]7号）文件执行。实行扶贫项目行政村公示制度，扶贫资金建设项目5万元以上的必须设立公示牌。各扶贫项目自觉接受纪委、审计、财政、扶贫等部门的监督，各级各部门将组织不定期的督查和抽查。</w:t>
      </w:r>
    </w:p>
    <w:p>
      <w:pPr>
        <w:spacing w:line="56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三、项目绩效情况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扶贫办强化资金和项目的管理，做到资金到项目、管理到项目、核算到项目、责任到项目、严格落实绩效管理的各项要求。对项目成本严格控制，严格预算安排，不超预算指标数。当年项目原则上当年完成，质量验收合格后完成报账手续。扶贫项目用于支持精准扶贫，惠及建档立卡贫困人口50442人和28个贫困村，与当年的脱贫攻坚任务紧密挂钩，圆满完成了2017年度脱贫攻坚工作任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扶贫协作和对口支援安化清塘铺镇石溪村，2017年共投入资金235万元，其中135万元用于120千瓦光伏电站和25千瓦光伏电站建设，项目已实施完成，村集体和贫困户已直接受益；其中65万元用于石溪村基础设施建设；另外35万元是对口扶贫工作经费支出。2017年石溪村共脱贫40户，149人，圆满完成年度脱贫攻坚任务。赫山区被评为益阳市扶贫协作和对口支援工作先进单位。</w:t>
      </w:r>
    </w:p>
    <w:p>
      <w:pPr>
        <w:spacing w:line="56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四、存在的问题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项目实施方面的</w:t>
      </w:r>
      <w:r>
        <w:rPr>
          <w:rFonts w:hint="eastAsia" w:ascii="仿宋_GB2312" w:eastAsia="仿宋_GB2312"/>
          <w:sz w:val="32"/>
          <w:szCs w:val="32"/>
        </w:rPr>
        <w:t>问题。</w:t>
      </w:r>
      <w:r>
        <w:rPr>
          <w:rFonts w:hint="eastAsia" w:ascii="仿宋_GB2312" w:eastAsia="仿宋_GB2312"/>
          <w:sz w:val="32"/>
          <w:szCs w:val="32"/>
          <w:lang w:eastAsia="zh-CN"/>
        </w:rPr>
        <w:t>扶贫资金滞留、项目进度滞后，监管力度不够。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（二）资金拨付方面的问题。2017年中央预拨扶贫资金拨付进度慢，金融服务站建设资金闲置。</w:t>
      </w:r>
    </w:p>
    <w:p>
      <w:pPr>
        <w:adjustRightInd/>
        <w:snapToGrid/>
        <w:spacing w:after="0" w:line="450" w:lineRule="atLeast"/>
        <w:ind w:firstLine="771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五、工作改进措施及有关建议：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71"/>
        <w:textAlignment w:val="auto"/>
        <w:outlineLvl w:val="9"/>
        <w:rPr>
          <w:rFonts w:ascii="仿宋_GB2312" w:hAnsi="微软雅黑" w:eastAsia="仿宋_GB2312" w:cs="宋体"/>
          <w:color w:val="333333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、统一思想，加强领导，明确责任，完善绩效评价管理制度，为绩效评价工作开展创造好的条件。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71"/>
        <w:textAlignment w:val="auto"/>
        <w:outlineLvl w:val="9"/>
      </w:pP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333333"/>
          <w:sz w:val="32"/>
          <w:szCs w:val="32"/>
        </w:rPr>
        <w:t>、把绩效评价工作作为一项日常性工作，建立绩效评价管理工作考核的长效机制。</w:t>
      </w:r>
    </w:p>
    <w:sectPr>
      <w:footerReference r:id="rId3" w:type="default"/>
      <w:pgSz w:w="11906" w:h="16838"/>
      <w:pgMar w:top="1440" w:right="1800" w:bottom="1440" w:left="1800" w:header="708" w:footer="708" w:gutter="0"/>
      <w:pgNumType w:fmt="numberInDash"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E4149"/>
    <w:multiLevelType w:val="multilevel"/>
    <w:tmpl w:val="151E4149"/>
    <w:lvl w:ilvl="0" w:tentative="0">
      <w:start w:val="1"/>
      <w:numFmt w:val="decimal"/>
      <w:lvlText w:val="%1."/>
      <w:lvlJc w:val="left"/>
      <w:pPr>
        <w:ind w:left="159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50" w:hanging="420"/>
      </w:pPr>
    </w:lvl>
    <w:lvl w:ilvl="2" w:tentative="0">
      <w:start w:val="1"/>
      <w:numFmt w:val="lowerRoman"/>
      <w:lvlText w:val="%3."/>
      <w:lvlJc w:val="right"/>
      <w:pPr>
        <w:ind w:left="2370" w:hanging="420"/>
      </w:pPr>
    </w:lvl>
    <w:lvl w:ilvl="3" w:tentative="0">
      <w:start w:val="1"/>
      <w:numFmt w:val="decimal"/>
      <w:lvlText w:val="%4."/>
      <w:lvlJc w:val="left"/>
      <w:pPr>
        <w:ind w:left="2790" w:hanging="420"/>
      </w:pPr>
    </w:lvl>
    <w:lvl w:ilvl="4" w:tentative="0">
      <w:start w:val="1"/>
      <w:numFmt w:val="lowerLetter"/>
      <w:lvlText w:val="%5)"/>
      <w:lvlJc w:val="left"/>
      <w:pPr>
        <w:ind w:left="3210" w:hanging="420"/>
      </w:pPr>
    </w:lvl>
    <w:lvl w:ilvl="5" w:tentative="0">
      <w:start w:val="1"/>
      <w:numFmt w:val="lowerRoman"/>
      <w:lvlText w:val="%6."/>
      <w:lvlJc w:val="right"/>
      <w:pPr>
        <w:ind w:left="3630" w:hanging="420"/>
      </w:pPr>
    </w:lvl>
    <w:lvl w:ilvl="6" w:tentative="0">
      <w:start w:val="1"/>
      <w:numFmt w:val="decimal"/>
      <w:lvlText w:val="%7."/>
      <w:lvlJc w:val="left"/>
      <w:pPr>
        <w:ind w:left="4050" w:hanging="420"/>
      </w:pPr>
    </w:lvl>
    <w:lvl w:ilvl="7" w:tentative="0">
      <w:start w:val="1"/>
      <w:numFmt w:val="lowerLetter"/>
      <w:lvlText w:val="%8)"/>
      <w:lvlJc w:val="left"/>
      <w:pPr>
        <w:ind w:left="4470" w:hanging="420"/>
      </w:pPr>
    </w:lvl>
    <w:lvl w:ilvl="8" w:tentative="0">
      <w:start w:val="1"/>
      <w:numFmt w:val="lowerRoman"/>
      <w:lvlText w:val="%9."/>
      <w:lvlJc w:val="right"/>
      <w:pPr>
        <w:ind w:left="4890" w:hanging="420"/>
      </w:pPr>
    </w:lvl>
  </w:abstractNum>
  <w:abstractNum w:abstractNumId="1">
    <w:nsid w:val="41884B99"/>
    <w:multiLevelType w:val="multilevel"/>
    <w:tmpl w:val="41884B99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64D16BE"/>
    <w:multiLevelType w:val="multilevel"/>
    <w:tmpl w:val="564D16BE"/>
    <w:lvl w:ilvl="0" w:tentative="0">
      <w:start w:val="1"/>
      <w:numFmt w:val="japaneseCounting"/>
      <w:lvlText w:val="%1、"/>
      <w:lvlJc w:val="left"/>
      <w:pPr>
        <w:ind w:left="130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D31D50"/>
    <w:rsid w:val="00022673"/>
    <w:rsid w:val="00074B38"/>
    <w:rsid w:val="00090ACC"/>
    <w:rsid w:val="00150A37"/>
    <w:rsid w:val="001717CC"/>
    <w:rsid w:val="00230B00"/>
    <w:rsid w:val="002A123F"/>
    <w:rsid w:val="002F517A"/>
    <w:rsid w:val="00323B43"/>
    <w:rsid w:val="00324F53"/>
    <w:rsid w:val="00385388"/>
    <w:rsid w:val="003D37D8"/>
    <w:rsid w:val="00426133"/>
    <w:rsid w:val="004338AD"/>
    <w:rsid w:val="004358AB"/>
    <w:rsid w:val="00545EFC"/>
    <w:rsid w:val="006339D5"/>
    <w:rsid w:val="006903DE"/>
    <w:rsid w:val="006C349F"/>
    <w:rsid w:val="00721735"/>
    <w:rsid w:val="008041D4"/>
    <w:rsid w:val="0081293D"/>
    <w:rsid w:val="008667BB"/>
    <w:rsid w:val="008B74C4"/>
    <w:rsid w:val="008B7726"/>
    <w:rsid w:val="009268D2"/>
    <w:rsid w:val="00934BE0"/>
    <w:rsid w:val="009609A7"/>
    <w:rsid w:val="00977AC4"/>
    <w:rsid w:val="00A14B02"/>
    <w:rsid w:val="00A81888"/>
    <w:rsid w:val="00A85F72"/>
    <w:rsid w:val="00AE6F43"/>
    <w:rsid w:val="00AF7374"/>
    <w:rsid w:val="00BA0972"/>
    <w:rsid w:val="00C01EB5"/>
    <w:rsid w:val="00C35AC0"/>
    <w:rsid w:val="00C57B0F"/>
    <w:rsid w:val="00CC4D96"/>
    <w:rsid w:val="00CE7AA4"/>
    <w:rsid w:val="00D06CA8"/>
    <w:rsid w:val="00D31D50"/>
    <w:rsid w:val="00EB2A45"/>
    <w:rsid w:val="00EB6DA1"/>
    <w:rsid w:val="00EC4A4C"/>
    <w:rsid w:val="00EE20A6"/>
    <w:rsid w:val="00EF343B"/>
    <w:rsid w:val="00F02B69"/>
    <w:rsid w:val="00F062CB"/>
    <w:rsid w:val="00F1685A"/>
    <w:rsid w:val="00F34B79"/>
    <w:rsid w:val="00F70F17"/>
    <w:rsid w:val="00F77E3D"/>
    <w:rsid w:val="08540928"/>
    <w:rsid w:val="1F746040"/>
    <w:rsid w:val="2C971413"/>
    <w:rsid w:val="2F530D66"/>
    <w:rsid w:val="333A46BC"/>
    <w:rsid w:val="3F0F55C0"/>
    <w:rsid w:val="45A04433"/>
    <w:rsid w:val="51952CE1"/>
    <w:rsid w:val="61E54FFD"/>
    <w:rsid w:val="63792C0E"/>
    <w:rsid w:val="66D54CAD"/>
    <w:rsid w:val="7DC6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0"/>
    <w:basedOn w:val="1"/>
    <w:qFormat/>
    <w:uiPriority w:val="99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288</Words>
  <Characters>1645</Characters>
  <Lines>13</Lines>
  <Paragraphs>3</Paragraphs>
  <TotalTime>21</TotalTime>
  <ScaleCrop>false</ScaleCrop>
  <LinksUpToDate>false</LinksUpToDate>
  <CharactersWithSpaces>1930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彭程</cp:lastModifiedBy>
  <cp:lastPrinted>2018-06-26T01:48:00Z</cp:lastPrinted>
  <dcterms:modified xsi:type="dcterms:W3CDTF">2018-06-28T02:50:29Z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