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N/>
        <w:bidi w:val="0"/>
        <w:adjustRightInd/>
        <w:snapToGrid/>
        <w:spacing w:line="560" w:lineRule="exact"/>
        <w:jc w:val="center"/>
        <w:textAlignment w:val="auto"/>
        <w:outlineLvl w:val="9"/>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共青团益阳市赫山区委员会</w:t>
      </w:r>
    </w:p>
    <w:p>
      <w:pPr>
        <w:keepNext w:val="0"/>
        <w:keepLines w:val="0"/>
        <w:pageBreakBefore w:val="0"/>
        <w:kinsoku/>
        <w:wordWrap/>
        <w:overflowPunct/>
        <w:topLinePunct w:val="0"/>
        <w:autoSpaceDN/>
        <w:bidi w:val="0"/>
        <w:adjustRightInd/>
        <w:snapToGrid/>
        <w:spacing w:line="560" w:lineRule="exact"/>
        <w:jc w:val="center"/>
        <w:textAlignment w:val="auto"/>
        <w:outlineLvl w:val="9"/>
        <w:rPr>
          <w:rFonts w:hint="eastAsia" w:ascii="方正小标宋简体" w:eastAsia="方正小标宋简体"/>
          <w:sz w:val="44"/>
          <w:szCs w:val="44"/>
        </w:rPr>
      </w:pPr>
      <w:r>
        <w:rPr>
          <w:rFonts w:hint="eastAsia" w:ascii="方正小标宋简体" w:eastAsia="方正小标宋简体"/>
          <w:sz w:val="44"/>
          <w:szCs w:val="44"/>
        </w:rPr>
        <w:t>2017年度部门整体支出绩效评价报告</w:t>
      </w:r>
    </w:p>
    <w:p>
      <w:pPr>
        <w:pStyle w:val="4"/>
        <w:keepNext w:val="0"/>
        <w:keepLines w:val="0"/>
        <w:pageBreakBefore w:val="0"/>
        <w:shd w:val="clear" w:color="auto" w:fill="FFFFFF"/>
        <w:kinsoku/>
        <w:wordWrap/>
        <w:overflowPunct/>
        <w:topLinePunct w:val="0"/>
        <w:autoSpaceDN/>
        <w:bidi w:val="0"/>
        <w:adjustRightInd/>
        <w:snapToGrid/>
        <w:spacing w:before="0" w:beforeAutospacing="0" w:after="0" w:afterAutospacing="0" w:line="560" w:lineRule="exact"/>
        <w:ind w:firstLine="800" w:firstLineChars="250"/>
        <w:jc w:val="both"/>
        <w:textAlignment w:val="auto"/>
        <w:outlineLvl w:val="9"/>
        <w:rPr>
          <w:rFonts w:hint="eastAsia" w:ascii="仿宋" w:hAnsi="仿宋" w:eastAsia="仿宋"/>
          <w:sz w:val="32"/>
          <w:szCs w:val="32"/>
        </w:rPr>
      </w:pPr>
    </w:p>
    <w:p>
      <w:pPr>
        <w:pStyle w:val="4"/>
        <w:keepNext w:val="0"/>
        <w:keepLines w:val="0"/>
        <w:pageBreakBefore w:val="0"/>
        <w:shd w:val="clear" w:color="auto" w:fill="FFFFFF"/>
        <w:kinsoku/>
        <w:wordWrap/>
        <w:overflowPunct/>
        <w:topLinePunct w:val="0"/>
        <w:autoSpaceDN/>
        <w:bidi w:val="0"/>
        <w:adjustRightInd/>
        <w:snapToGrid/>
        <w:spacing w:before="0" w:beforeAutospacing="0" w:after="0" w:afterAutospacing="0" w:line="560" w:lineRule="exact"/>
        <w:ind w:firstLine="800" w:firstLineChars="250"/>
        <w:jc w:val="both"/>
        <w:textAlignment w:val="auto"/>
        <w:outlineLvl w:val="9"/>
        <w:rPr>
          <w:rFonts w:hint="eastAsia" w:ascii="仿宋" w:hAnsi="仿宋" w:eastAsia="仿宋" w:cs="Times New Roman"/>
          <w:color w:val="000000"/>
          <w:kern w:val="2"/>
          <w:sz w:val="32"/>
          <w:szCs w:val="32"/>
        </w:rPr>
      </w:pPr>
      <w:r>
        <w:rPr>
          <w:rFonts w:hint="eastAsia" w:ascii="仿宋" w:hAnsi="仿宋" w:eastAsia="仿宋"/>
          <w:sz w:val="32"/>
          <w:szCs w:val="32"/>
        </w:rPr>
        <w:t>根据《益阳市赫山区人民政府关于全面推进预算绩效管理的实施意见》（益赫政发〔2016〕10号）、《益阳市赫山区财政办关于转发湖南省预算绩效管理工作规程（试行）的通知》（益赫财绩〔2017〕85号）、《益阳市赫山区财政办关于做好2017年底预算绩效自评工作的通知》（益赫财政绩〔2018〕113号）等有关文件精神</w:t>
      </w:r>
      <w:r>
        <w:rPr>
          <w:rFonts w:hint="eastAsia" w:ascii="仿宋" w:hAnsi="仿宋" w:eastAsia="仿宋" w:cs="Times New Roman"/>
          <w:color w:val="000000"/>
          <w:kern w:val="2"/>
          <w:sz w:val="32"/>
          <w:szCs w:val="32"/>
        </w:rPr>
        <w:t>，本着独立、客观、公正、科学的原则，按照公认的绩效评价方法，我</w:t>
      </w:r>
      <w:r>
        <w:rPr>
          <w:rFonts w:hint="eastAsia" w:ascii="仿宋" w:hAnsi="仿宋" w:eastAsia="仿宋" w:cs="Times New Roman"/>
          <w:color w:val="000000"/>
          <w:kern w:val="2"/>
          <w:sz w:val="32"/>
          <w:szCs w:val="32"/>
          <w:lang w:val="en-US" w:eastAsia="zh-CN"/>
        </w:rPr>
        <w:t>委</w:t>
      </w:r>
      <w:r>
        <w:rPr>
          <w:rFonts w:hint="eastAsia" w:ascii="仿宋" w:hAnsi="仿宋" w:eastAsia="仿宋" w:cs="Times New Roman"/>
          <w:color w:val="000000"/>
          <w:kern w:val="2"/>
          <w:sz w:val="32"/>
          <w:szCs w:val="32"/>
        </w:rPr>
        <w:t>积极组织，对2017年度本单位整体支出进行了绩效自评，现将具体绩效评价情况报告如下：</w:t>
      </w:r>
    </w:p>
    <w:p>
      <w:pPr>
        <w:keepNext w:val="0"/>
        <w:keepLines w:val="0"/>
        <w:pageBreakBefore w:val="0"/>
        <w:numPr>
          <w:ilvl w:val="0"/>
          <w:numId w:val="0"/>
        </w:numPr>
        <w:kinsoku/>
        <w:wordWrap/>
        <w:overflowPunct/>
        <w:topLinePunct w:val="0"/>
        <w:autoSpaceDN/>
        <w:bidi w:val="0"/>
        <w:adjustRightInd/>
        <w:snapToGrid/>
        <w:spacing w:line="560" w:lineRule="exact"/>
        <w:ind w:firstLine="640" w:firstLineChars="200"/>
        <w:textAlignment w:val="auto"/>
        <w:outlineLvl w:val="9"/>
        <w:rPr>
          <w:rFonts w:hint="eastAsia" w:ascii="黑体" w:hAnsi="黑体" w:eastAsia="黑体" w:cs="黑体"/>
          <w:b w:val="0"/>
          <w:bCs/>
          <w:sz w:val="32"/>
          <w:szCs w:val="32"/>
        </w:rPr>
      </w:pPr>
      <w:r>
        <w:rPr>
          <w:rFonts w:hint="eastAsia" w:ascii="黑体" w:hAnsi="黑体" w:eastAsia="黑体" w:cs="黑体"/>
          <w:b w:val="0"/>
          <w:bCs/>
          <w:color w:val="000000"/>
          <w:kern w:val="0"/>
          <w:sz w:val="32"/>
          <w:szCs w:val="32"/>
          <w:lang w:val="en-US" w:eastAsia="zh-CN"/>
        </w:rPr>
        <w:t>一、</w:t>
      </w:r>
      <w:r>
        <w:rPr>
          <w:rFonts w:hint="eastAsia" w:ascii="黑体" w:hAnsi="黑体" w:eastAsia="黑体" w:cs="黑体"/>
          <w:b w:val="0"/>
          <w:bCs/>
          <w:color w:val="000000"/>
          <w:kern w:val="0"/>
          <w:sz w:val="32"/>
          <w:szCs w:val="32"/>
        </w:rPr>
        <w:t>基本情况</w:t>
      </w:r>
    </w:p>
    <w:p>
      <w:pPr>
        <w:pStyle w:val="4"/>
        <w:keepNext w:val="0"/>
        <w:keepLines w:val="0"/>
        <w:pageBreakBefore w:val="0"/>
        <w:shd w:val="clear" w:color="auto" w:fill="FFFFFF"/>
        <w:kinsoku/>
        <w:wordWrap/>
        <w:overflowPunct/>
        <w:topLinePunct w:val="0"/>
        <w:autoSpaceDN/>
        <w:bidi w:val="0"/>
        <w:adjustRightInd/>
        <w:snapToGrid/>
        <w:spacing w:before="0" w:beforeAutospacing="0" w:after="0" w:afterAutospacing="0" w:line="560" w:lineRule="exact"/>
        <w:ind w:firstLine="640" w:firstLineChars="200"/>
        <w:jc w:val="both"/>
        <w:textAlignment w:val="auto"/>
        <w:outlineLvl w:val="9"/>
        <w:rPr>
          <w:rFonts w:hint="eastAsia" w:ascii="楷体" w:hAnsi="楷体" w:eastAsia="楷体" w:cs="楷体"/>
          <w:b w:val="0"/>
          <w:bCs w:val="0"/>
          <w:sz w:val="32"/>
          <w:szCs w:val="32"/>
        </w:rPr>
      </w:pPr>
      <w:r>
        <w:rPr>
          <w:rFonts w:hint="eastAsia" w:ascii="楷体" w:hAnsi="楷体" w:eastAsia="楷体" w:cs="楷体"/>
          <w:b w:val="0"/>
          <w:bCs w:val="0"/>
          <w:sz w:val="32"/>
          <w:szCs w:val="32"/>
        </w:rPr>
        <w:t>（</w:t>
      </w:r>
      <w:r>
        <w:rPr>
          <w:rFonts w:hint="eastAsia" w:ascii="楷体" w:hAnsi="楷体" w:eastAsia="楷体" w:cs="楷体"/>
          <w:b w:val="0"/>
          <w:bCs w:val="0"/>
          <w:sz w:val="32"/>
          <w:szCs w:val="32"/>
          <w:lang w:val="en-US" w:eastAsia="zh-CN"/>
        </w:rPr>
        <w:t>一</w:t>
      </w:r>
      <w:r>
        <w:rPr>
          <w:rFonts w:hint="eastAsia" w:ascii="楷体" w:hAnsi="楷体" w:eastAsia="楷体" w:cs="楷体"/>
          <w:b w:val="0"/>
          <w:bCs w:val="0"/>
          <w:sz w:val="32"/>
          <w:szCs w:val="32"/>
        </w:rPr>
        <w:t>）部门整体支出概况</w:t>
      </w:r>
    </w:p>
    <w:p>
      <w:pPr>
        <w:pStyle w:val="4"/>
        <w:keepNext w:val="0"/>
        <w:keepLines w:val="0"/>
        <w:pageBreakBefore w:val="0"/>
        <w:shd w:val="clear" w:color="auto" w:fill="FFFFFF"/>
        <w:kinsoku/>
        <w:wordWrap/>
        <w:overflowPunct/>
        <w:topLinePunct w:val="0"/>
        <w:autoSpaceDN/>
        <w:bidi w:val="0"/>
        <w:adjustRightInd/>
        <w:snapToGrid/>
        <w:spacing w:before="0" w:beforeAutospacing="0" w:after="0" w:afterAutospacing="0" w:line="560" w:lineRule="exact"/>
        <w:ind w:firstLine="640" w:firstLineChars="200"/>
        <w:jc w:val="both"/>
        <w:textAlignment w:val="auto"/>
        <w:outlineLvl w:val="9"/>
        <w:rPr>
          <w:rFonts w:hint="eastAsia" w:ascii="仿宋" w:hAnsi="仿宋" w:eastAsia="仿宋"/>
          <w:sz w:val="32"/>
          <w:szCs w:val="32"/>
        </w:rPr>
      </w:pPr>
      <w:r>
        <w:rPr>
          <w:rFonts w:hint="eastAsia" w:ascii="仿宋" w:hAnsi="仿宋" w:eastAsia="仿宋"/>
          <w:sz w:val="32"/>
          <w:szCs w:val="32"/>
        </w:rPr>
        <w:t>部门决算收支情况：2017年</w:t>
      </w:r>
      <w:r>
        <w:rPr>
          <w:rFonts w:hint="eastAsia" w:ascii="仿宋" w:hAnsi="仿宋" w:eastAsia="仿宋"/>
          <w:sz w:val="32"/>
          <w:szCs w:val="32"/>
          <w:lang w:eastAsia="zh-CN"/>
        </w:rPr>
        <w:t>我委</w:t>
      </w:r>
      <w:r>
        <w:rPr>
          <w:rFonts w:hint="eastAsia" w:ascii="仿宋" w:hAnsi="仿宋" w:eastAsia="仿宋"/>
          <w:sz w:val="32"/>
          <w:szCs w:val="32"/>
        </w:rPr>
        <w:t>总收入</w:t>
      </w:r>
      <w:r>
        <w:rPr>
          <w:rFonts w:hint="eastAsia" w:ascii="仿宋" w:hAnsi="仿宋" w:eastAsia="仿宋"/>
          <w:sz w:val="32"/>
          <w:szCs w:val="32"/>
          <w:lang w:val="en-US" w:eastAsia="zh-CN"/>
        </w:rPr>
        <w:t>125.89</w:t>
      </w:r>
      <w:r>
        <w:rPr>
          <w:rFonts w:hint="eastAsia" w:ascii="仿宋" w:hAnsi="仿宋" w:eastAsia="仿宋"/>
          <w:sz w:val="32"/>
          <w:szCs w:val="32"/>
        </w:rPr>
        <w:t>万元，其中：一般公共预算财政拨款</w:t>
      </w:r>
      <w:r>
        <w:rPr>
          <w:rFonts w:hint="eastAsia" w:ascii="仿宋" w:hAnsi="仿宋" w:eastAsia="仿宋"/>
          <w:sz w:val="32"/>
          <w:szCs w:val="32"/>
          <w:lang w:val="en-US" w:eastAsia="zh-CN"/>
        </w:rPr>
        <w:t>125.35</w:t>
      </w:r>
      <w:r>
        <w:rPr>
          <w:rFonts w:hint="eastAsia" w:ascii="仿宋" w:hAnsi="仿宋" w:eastAsia="仿宋"/>
          <w:sz w:val="32"/>
          <w:szCs w:val="32"/>
        </w:rPr>
        <w:t>元，上年结转结余</w:t>
      </w:r>
      <w:r>
        <w:rPr>
          <w:rFonts w:hint="eastAsia" w:ascii="仿宋" w:hAnsi="仿宋" w:eastAsia="仿宋"/>
          <w:sz w:val="32"/>
          <w:szCs w:val="32"/>
          <w:lang w:val="en-US" w:eastAsia="zh-CN"/>
        </w:rPr>
        <w:t>0.54</w:t>
      </w:r>
      <w:r>
        <w:rPr>
          <w:rFonts w:hint="eastAsia" w:ascii="仿宋" w:hAnsi="仿宋" w:eastAsia="仿宋"/>
          <w:sz w:val="32"/>
          <w:szCs w:val="32"/>
        </w:rPr>
        <w:t>万元。2017年</w:t>
      </w:r>
      <w:r>
        <w:rPr>
          <w:rFonts w:hint="eastAsia" w:ascii="仿宋" w:hAnsi="仿宋" w:eastAsia="仿宋"/>
          <w:sz w:val="32"/>
          <w:szCs w:val="32"/>
          <w:lang w:eastAsia="zh-CN"/>
        </w:rPr>
        <w:t>我委</w:t>
      </w:r>
      <w:r>
        <w:rPr>
          <w:rFonts w:hint="eastAsia" w:ascii="仿宋" w:hAnsi="仿宋" w:eastAsia="仿宋"/>
          <w:sz w:val="32"/>
          <w:szCs w:val="32"/>
        </w:rPr>
        <w:t>总支出</w:t>
      </w:r>
      <w:r>
        <w:rPr>
          <w:rFonts w:hint="eastAsia" w:ascii="仿宋" w:hAnsi="仿宋" w:eastAsia="仿宋"/>
          <w:sz w:val="32"/>
          <w:szCs w:val="32"/>
          <w:lang w:val="en-US" w:eastAsia="zh-CN"/>
        </w:rPr>
        <w:t>107.98</w:t>
      </w:r>
      <w:r>
        <w:rPr>
          <w:rFonts w:hint="eastAsia" w:ascii="仿宋" w:hAnsi="仿宋" w:eastAsia="仿宋"/>
          <w:sz w:val="32"/>
          <w:szCs w:val="32"/>
        </w:rPr>
        <w:t>万元，其中：基本支出（含专项业务经费）</w:t>
      </w:r>
      <w:r>
        <w:rPr>
          <w:rFonts w:hint="eastAsia" w:ascii="仿宋" w:hAnsi="仿宋" w:eastAsia="仿宋"/>
          <w:sz w:val="32"/>
          <w:szCs w:val="32"/>
          <w:lang w:val="en-US" w:eastAsia="zh-CN"/>
        </w:rPr>
        <w:t>107.98</w:t>
      </w:r>
      <w:r>
        <w:rPr>
          <w:rFonts w:hint="eastAsia" w:ascii="仿宋" w:hAnsi="仿宋" w:eastAsia="仿宋"/>
          <w:sz w:val="32"/>
          <w:szCs w:val="32"/>
        </w:rPr>
        <w:t>万元。部门决算年终结转结余情况：2017年</w:t>
      </w:r>
      <w:r>
        <w:rPr>
          <w:rFonts w:hint="eastAsia" w:ascii="仿宋" w:hAnsi="仿宋" w:eastAsia="仿宋"/>
          <w:sz w:val="32"/>
          <w:szCs w:val="32"/>
          <w:lang w:eastAsia="zh-CN"/>
        </w:rPr>
        <w:t>我委</w:t>
      </w:r>
      <w:r>
        <w:rPr>
          <w:rFonts w:hint="eastAsia" w:ascii="仿宋" w:hAnsi="仿宋" w:eastAsia="仿宋"/>
          <w:sz w:val="32"/>
          <w:szCs w:val="32"/>
        </w:rPr>
        <w:t>累计结转结余</w:t>
      </w:r>
      <w:r>
        <w:rPr>
          <w:rFonts w:hint="eastAsia" w:ascii="仿宋" w:hAnsi="仿宋" w:eastAsia="仿宋"/>
          <w:sz w:val="32"/>
          <w:szCs w:val="32"/>
          <w:lang w:val="en-US" w:eastAsia="zh-CN"/>
        </w:rPr>
        <w:t>17.9</w:t>
      </w:r>
      <w:r>
        <w:rPr>
          <w:rFonts w:hint="eastAsia" w:ascii="仿宋" w:hAnsi="仿宋" w:eastAsia="仿宋"/>
          <w:sz w:val="32"/>
          <w:szCs w:val="32"/>
        </w:rPr>
        <w:t>万元。</w:t>
      </w:r>
    </w:p>
    <w:p>
      <w:pPr>
        <w:pStyle w:val="4"/>
        <w:keepNext w:val="0"/>
        <w:keepLines w:val="0"/>
        <w:pageBreakBefore w:val="0"/>
        <w:shd w:val="clear" w:color="auto" w:fill="FFFFFF"/>
        <w:kinsoku/>
        <w:wordWrap/>
        <w:overflowPunct/>
        <w:topLinePunct w:val="0"/>
        <w:autoSpaceDN/>
        <w:bidi w:val="0"/>
        <w:adjustRightInd/>
        <w:snapToGrid/>
        <w:spacing w:before="0" w:beforeAutospacing="0" w:after="0" w:afterAutospacing="0" w:line="560" w:lineRule="exact"/>
        <w:ind w:firstLine="640" w:firstLineChars="200"/>
        <w:jc w:val="both"/>
        <w:textAlignment w:val="auto"/>
        <w:outlineLvl w:val="9"/>
        <w:rPr>
          <w:rFonts w:hint="eastAsia" w:ascii="楷体" w:hAnsi="楷体" w:eastAsia="楷体" w:cs="楷体"/>
          <w:b w:val="0"/>
          <w:bCs w:val="0"/>
          <w:sz w:val="32"/>
          <w:szCs w:val="32"/>
        </w:rPr>
      </w:pPr>
      <w:r>
        <w:rPr>
          <w:rFonts w:hint="eastAsia" w:ascii="楷体" w:hAnsi="楷体" w:eastAsia="楷体" w:cs="楷体"/>
          <w:b w:val="0"/>
          <w:bCs w:val="0"/>
          <w:sz w:val="32"/>
          <w:szCs w:val="32"/>
        </w:rPr>
        <w:t>（二）部门整体支出绩效目标</w:t>
      </w:r>
    </w:p>
    <w:p>
      <w:pPr>
        <w:pStyle w:val="4"/>
        <w:keepNext w:val="0"/>
        <w:keepLines w:val="0"/>
        <w:pageBreakBefore w:val="0"/>
        <w:shd w:val="clear" w:color="auto" w:fill="FFFFFF"/>
        <w:kinsoku/>
        <w:wordWrap/>
        <w:overflowPunct/>
        <w:topLinePunct w:val="0"/>
        <w:autoSpaceDN/>
        <w:bidi w:val="0"/>
        <w:adjustRightInd/>
        <w:snapToGrid/>
        <w:spacing w:before="0" w:beforeAutospacing="0" w:after="0" w:afterAutospacing="0" w:line="560" w:lineRule="exact"/>
        <w:ind w:firstLine="800" w:firstLineChars="250"/>
        <w:jc w:val="both"/>
        <w:textAlignment w:val="auto"/>
        <w:outlineLvl w:val="9"/>
        <w:rPr>
          <w:rFonts w:hint="eastAsia" w:ascii="仿宋" w:hAnsi="仿宋" w:eastAsia="仿宋"/>
          <w:sz w:val="32"/>
          <w:szCs w:val="32"/>
        </w:rPr>
      </w:pPr>
      <w:r>
        <w:rPr>
          <w:rFonts w:hint="eastAsia" w:ascii="仿宋" w:hAnsi="仿宋" w:eastAsia="仿宋"/>
          <w:sz w:val="32"/>
          <w:szCs w:val="32"/>
        </w:rPr>
        <w:t>在区委、区政府的正确领导下，在团市委的精心指导下，紧紧围绕全区重大发展战略，本着党政所急</w:t>
      </w:r>
      <w:r>
        <w:rPr>
          <w:rFonts w:hint="eastAsia" w:ascii="仿宋" w:hAnsi="仿宋" w:eastAsia="仿宋"/>
          <w:sz w:val="32"/>
          <w:szCs w:val="32"/>
          <w:lang w:eastAsia="zh-CN"/>
        </w:rPr>
        <w:t>、</w:t>
      </w:r>
      <w:r>
        <w:rPr>
          <w:rFonts w:hint="eastAsia" w:ascii="仿宋" w:hAnsi="仿宋" w:eastAsia="仿宋"/>
          <w:sz w:val="32"/>
          <w:szCs w:val="32"/>
        </w:rPr>
        <w:t>青年所需、团委所能的原则，抓住青年发展为主线，全面实施青年发展规划，动员广大青年朋友投身到我区经济社会发展中去。</w:t>
      </w:r>
    </w:p>
    <w:p>
      <w:pPr>
        <w:pStyle w:val="4"/>
        <w:keepNext w:val="0"/>
        <w:keepLines w:val="0"/>
        <w:pageBreakBefore w:val="0"/>
        <w:shd w:val="clear" w:color="auto" w:fill="FFFFFF"/>
        <w:kinsoku/>
        <w:wordWrap/>
        <w:overflowPunct/>
        <w:topLinePunct w:val="0"/>
        <w:autoSpaceDN/>
        <w:bidi w:val="0"/>
        <w:adjustRightInd/>
        <w:snapToGrid/>
        <w:spacing w:before="0" w:beforeAutospacing="0" w:after="0" w:afterAutospacing="0" w:line="560" w:lineRule="exact"/>
        <w:ind w:firstLine="640" w:firstLineChars="200"/>
        <w:jc w:val="both"/>
        <w:textAlignment w:val="auto"/>
        <w:outlineLvl w:val="9"/>
        <w:rPr>
          <w:rFonts w:hint="eastAsia" w:ascii="仿宋" w:hAnsi="仿宋" w:eastAsia="仿宋"/>
          <w:sz w:val="32"/>
          <w:szCs w:val="32"/>
        </w:rPr>
      </w:pPr>
      <w:r>
        <w:rPr>
          <w:rFonts w:hint="eastAsia" w:ascii="仿宋" w:hAnsi="仿宋" w:eastAsia="仿宋"/>
          <w:sz w:val="32"/>
          <w:szCs w:val="32"/>
        </w:rPr>
        <w:t>预决算公开：根据区财政局的统一部署及相关要求，</w:t>
      </w:r>
      <w:r>
        <w:rPr>
          <w:rFonts w:hint="eastAsia" w:ascii="仿宋" w:hAnsi="仿宋" w:eastAsia="仿宋"/>
          <w:sz w:val="32"/>
          <w:szCs w:val="32"/>
          <w:lang w:eastAsia="zh-CN"/>
        </w:rPr>
        <w:t>我委</w:t>
      </w:r>
      <w:r>
        <w:rPr>
          <w:rFonts w:hint="eastAsia" w:ascii="仿宋" w:hAnsi="仿宋" w:eastAsia="仿宋"/>
          <w:sz w:val="32"/>
          <w:szCs w:val="32"/>
        </w:rPr>
        <w:t>已在赫山信息网站上进行了</w:t>
      </w:r>
      <w:r>
        <w:rPr>
          <w:rFonts w:hint="eastAsia" w:ascii="仿宋" w:hAnsi="仿宋" w:eastAsia="仿宋" w:cs="仿宋"/>
          <w:sz w:val="32"/>
          <w:szCs w:val="32"/>
        </w:rPr>
        <w:t>201</w:t>
      </w:r>
      <w:r>
        <w:rPr>
          <w:rFonts w:hint="eastAsia" w:ascii="仿宋" w:hAnsi="仿宋" w:eastAsia="仿宋" w:cs="仿宋"/>
          <w:sz w:val="32"/>
          <w:szCs w:val="32"/>
          <w:lang w:val="en-US" w:eastAsia="zh-CN"/>
        </w:rPr>
        <w:t>8</w:t>
      </w:r>
      <w:r>
        <w:rPr>
          <w:rFonts w:hint="eastAsia" w:ascii="仿宋" w:hAnsi="仿宋" w:eastAsia="仿宋" w:cs="仿宋"/>
          <w:sz w:val="32"/>
          <w:szCs w:val="32"/>
        </w:rPr>
        <w:t>年度预算</w:t>
      </w:r>
      <w:r>
        <w:rPr>
          <w:rFonts w:hint="eastAsia" w:ascii="仿宋" w:hAnsi="仿宋" w:eastAsia="仿宋"/>
          <w:sz w:val="32"/>
          <w:szCs w:val="32"/>
        </w:rPr>
        <w:t>公开</w:t>
      </w:r>
      <w:r>
        <w:rPr>
          <w:rFonts w:hint="eastAsia" w:ascii="仿宋" w:hAnsi="仿宋" w:eastAsia="仿宋" w:cs="仿宋"/>
          <w:sz w:val="32"/>
          <w:szCs w:val="32"/>
        </w:rPr>
        <w:t>。</w:t>
      </w:r>
    </w:p>
    <w:p>
      <w:pPr>
        <w:pStyle w:val="4"/>
        <w:keepNext w:val="0"/>
        <w:keepLines w:val="0"/>
        <w:pageBreakBefore w:val="0"/>
        <w:shd w:val="clear" w:color="auto" w:fill="FFFFFF"/>
        <w:kinsoku/>
        <w:wordWrap/>
        <w:overflowPunct/>
        <w:topLinePunct w:val="0"/>
        <w:autoSpaceDN/>
        <w:bidi w:val="0"/>
        <w:adjustRightInd/>
        <w:snapToGrid/>
        <w:spacing w:before="0" w:beforeAutospacing="0" w:after="0" w:afterAutospacing="0" w:line="560" w:lineRule="exact"/>
        <w:ind w:firstLine="640" w:firstLineChars="200"/>
        <w:jc w:val="both"/>
        <w:textAlignment w:val="auto"/>
        <w:outlineLvl w:val="9"/>
        <w:rPr>
          <w:rFonts w:hint="eastAsia" w:ascii="仿宋" w:hAnsi="仿宋" w:eastAsia="仿宋"/>
          <w:sz w:val="32"/>
          <w:szCs w:val="32"/>
        </w:rPr>
      </w:pPr>
      <w:r>
        <w:rPr>
          <w:rFonts w:hint="eastAsia" w:ascii="仿宋" w:hAnsi="仿宋" w:eastAsia="仿宋"/>
          <w:sz w:val="32"/>
          <w:szCs w:val="32"/>
        </w:rPr>
        <w:t>存量资金管理：</w:t>
      </w:r>
      <w:r>
        <w:rPr>
          <w:rFonts w:hint="eastAsia" w:ascii="仿宋" w:hAnsi="仿宋" w:eastAsia="仿宋"/>
          <w:sz w:val="32"/>
          <w:szCs w:val="32"/>
          <w:lang w:eastAsia="zh-CN"/>
        </w:rPr>
        <w:t>我委</w:t>
      </w:r>
      <w:r>
        <w:rPr>
          <w:rFonts w:hint="eastAsia" w:ascii="仿宋" w:hAnsi="仿宋" w:eastAsia="仿宋"/>
          <w:sz w:val="32"/>
          <w:szCs w:val="32"/>
        </w:rPr>
        <w:t>已实行国库集中支付管理。</w:t>
      </w:r>
    </w:p>
    <w:p>
      <w:pPr>
        <w:pStyle w:val="4"/>
        <w:keepNext w:val="0"/>
        <w:keepLines w:val="0"/>
        <w:pageBreakBefore w:val="0"/>
        <w:shd w:val="clear" w:color="auto" w:fill="FFFFFF"/>
        <w:kinsoku/>
        <w:wordWrap/>
        <w:overflowPunct/>
        <w:topLinePunct w:val="0"/>
        <w:autoSpaceDN/>
        <w:bidi w:val="0"/>
        <w:adjustRightInd/>
        <w:snapToGrid/>
        <w:spacing w:before="0" w:beforeAutospacing="0" w:after="0" w:afterAutospacing="0" w:line="560" w:lineRule="exact"/>
        <w:ind w:firstLine="640" w:firstLineChars="200"/>
        <w:jc w:val="both"/>
        <w:textAlignment w:val="auto"/>
        <w:outlineLvl w:val="9"/>
        <w:rPr>
          <w:rFonts w:hint="eastAsia" w:ascii="仿宋" w:hAnsi="仿宋" w:eastAsia="仿宋"/>
          <w:sz w:val="32"/>
          <w:szCs w:val="32"/>
        </w:rPr>
      </w:pPr>
      <w:r>
        <w:rPr>
          <w:rFonts w:hint="eastAsia" w:ascii="仿宋" w:hAnsi="仿宋" w:eastAsia="仿宋"/>
          <w:sz w:val="32"/>
          <w:szCs w:val="32"/>
        </w:rPr>
        <w:t>资产管理：制定了《</w:t>
      </w:r>
      <w:r>
        <w:rPr>
          <w:rFonts w:hint="eastAsia" w:ascii="仿宋" w:hAnsi="仿宋" w:eastAsia="仿宋"/>
          <w:sz w:val="32"/>
          <w:szCs w:val="32"/>
          <w:lang w:val="en-US" w:eastAsia="zh-CN"/>
        </w:rPr>
        <w:t>共青团益阳市赫山区委员会</w:t>
      </w:r>
      <w:r>
        <w:rPr>
          <w:rFonts w:hint="eastAsia" w:ascii="仿宋" w:hAnsi="仿宋" w:eastAsia="仿宋"/>
          <w:sz w:val="32"/>
          <w:szCs w:val="32"/>
        </w:rPr>
        <w:t>办公室资产管理制度》，建立了固定资产台帐，指定专人管理，及时登记，科学使用，实现了“一物一卡一条码”。固定资产的调出、处置、报废、报损严格执行国家有关规定的审批程序办理。</w:t>
      </w:r>
    </w:p>
    <w:p>
      <w:pPr>
        <w:pStyle w:val="4"/>
        <w:keepNext w:val="0"/>
        <w:keepLines w:val="0"/>
        <w:pageBreakBefore w:val="0"/>
        <w:shd w:val="clear" w:color="auto" w:fill="FFFFFF"/>
        <w:kinsoku/>
        <w:wordWrap/>
        <w:overflowPunct/>
        <w:topLinePunct w:val="0"/>
        <w:autoSpaceDN/>
        <w:bidi w:val="0"/>
        <w:adjustRightInd/>
        <w:snapToGrid/>
        <w:spacing w:before="0" w:beforeAutospacing="0" w:after="0" w:afterAutospacing="0" w:line="560" w:lineRule="exact"/>
        <w:ind w:firstLine="640" w:firstLineChars="200"/>
        <w:jc w:val="both"/>
        <w:textAlignment w:val="auto"/>
        <w:outlineLvl w:val="9"/>
        <w:rPr>
          <w:rFonts w:hint="eastAsia" w:ascii="仿宋" w:hAnsi="仿宋" w:eastAsia="仿宋"/>
          <w:sz w:val="32"/>
          <w:szCs w:val="32"/>
        </w:rPr>
      </w:pPr>
      <w:r>
        <w:rPr>
          <w:rFonts w:hint="eastAsia" w:ascii="仿宋" w:hAnsi="仿宋" w:eastAsia="仿宋"/>
          <w:sz w:val="32"/>
          <w:szCs w:val="32"/>
        </w:rPr>
        <w:t>“三公”经费控制：2017年，</w:t>
      </w:r>
      <w:r>
        <w:rPr>
          <w:rFonts w:hint="eastAsia" w:ascii="仿宋" w:hAnsi="仿宋" w:eastAsia="仿宋"/>
          <w:sz w:val="32"/>
          <w:szCs w:val="32"/>
          <w:lang w:eastAsia="zh-CN"/>
        </w:rPr>
        <w:t>我委</w:t>
      </w:r>
      <w:r>
        <w:rPr>
          <w:rFonts w:hint="eastAsia" w:ascii="仿宋" w:hAnsi="仿宋" w:eastAsia="仿宋"/>
          <w:sz w:val="32"/>
          <w:szCs w:val="32"/>
        </w:rPr>
        <w:t>“三公”经费支出</w:t>
      </w:r>
      <w:r>
        <w:rPr>
          <w:rFonts w:hint="eastAsia" w:ascii="仿宋" w:hAnsi="仿宋" w:eastAsia="仿宋"/>
          <w:sz w:val="32"/>
          <w:szCs w:val="32"/>
          <w:lang w:val="en-US" w:eastAsia="zh-CN"/>
        </w:rPr>
        <w:t>1.4</w:t>
      </w:r>
      <w:r>
        <w:rPr>
          <w:rFonts w:hint="eastAsia" w:ascii="仿宋" w:hAnsi="仿宋" w:eastAsia="仿宋"/>
          <w:sz w:val="32"/>
          <w:szCs w:val="32"/>
        </w:rPr>
        <w:t>万元，其中：无公务用车运行维护费，公务接待费</w:t>
      </w:r>
      <w:r>
        <w:rPr>
          <w:rFonts w:hint="eastAsia" w:ascii="仿宋" w:hAnsi="仿宋" w:eastAsia="仿宋"/>
          <w:sz w:val="32"/>
          <w:szCs w:val="32"/>
          <w:lang w:val="en-US" w:eastAsia="zh-CN"/>
        </w:rPr>
        <w:t>1.4</w:t>
      </w:r>
      <w:r>
        <w:rPr>
          <w:rFonts w:hint="eastAsia" w:ascii="仿宋" w:hAnsi="仿宋" w:eastAsia="仿宋"/>
          <w:sz w:val="32"/>
          <w:szCs w:val="32"/>
        </w:rPr>
        <w:t>万元，无出国出境费。</w:t>
      </w:r>
    </w:p>
    <w:p>
      <w:pPr>
        <w:pStyle w:val="4"/>
        <w:keepNext w:val="0"/>
        <w:keepLines w:val="0"/>
        <w:pageBreakBefore w:val="0"/>
        <w:shd w:val="clear" w:color="auto" w:fill="FFFFFF"/>
        <w:kinsoku/>
        <w:wordWrap/>
        <w:overflowPunct/>
        <w:topLinePunct w:val="0"/>
        <w:autoSpaceDN/>
        <w:bidi w:val="0"/>
        <w:adjustRightInd/>
        <w:snapToGrid/>
        <w:spacing w:before="0" w:beforeAutospacing="0" w:after="0" w:afterAutospacing="0" w:line="560" w:lineRule="exact"/>
        <w:ind w:firstLine="640" w:firstLineChars="200"/>
        <w:jc w:val="both"/>
        <w:textAlignment w:val="auto"/>
        <w:outlineLvl w:val="9"/>
        <w:rPr>
          <w:rFonts w:hint="eastAsia" w:ascii="仿宋" w:hAnsi="仿宋" w:eastAsia="仿宋"/>
          <w:sz w:val="32"/>
          <w:szCs w:val="32"/>
        </w:rPr>
      </w:pPr>
      <w:r>
        <w:rPr>
          <w:rFonts w:hint="eastAsia" w:ascii="仿宋" w:hAnsi="仿宋" w:eastAsia="仿宋"/>
          <w:sz w:val="32"/>
          <w:szCs w:val="32"/>
        </w:rPr>
        <w:t>内部控制制度建设：2017年，</w:t>
      </w:r>
      <w:r>
        <w:rPr>
          <w:rFonts w:hint="eastAsia" w:ascii="仿宋" w:hAnsi="仿宋" w:eastAsia="仿宋"/>
          <w:sz w:val="32"/>
          <w:szCs w:val="32"/>
          <w:lang w:eastAsia="zh-CN"/>
        </w:rPr>
        <w:t>我委</w:t>
      </w:r>
      <w:r>
        <w:rPr>
          <w:rFonts w:hint="eastAsia" w:ascii="仿宋" w:hAnsi="仿宋" w:eastAsia="仿宋"/>
          <w:sz w:val="32"/>
          <w:szCs w:val="32"/>
        </w:rPr>
        <w:t>制定了《</w:t>
      </w:r>
      <w:r>
        <w:rPr>
          <w:rFonts w:hint="eastAsia" w:ascii="仿宋" w:hAnsi="仿宋" w:eastAsia="仿宋"/>
          <w:sz w:val="32"/>
          <w:szCs w:val="32"/>
          <w:lang w:val="en-US" w:eastAsia="zh-CN"/>
        </w:rPr>
        <w:t>共青团益阳市赫山区委员会</w:t>
      </w:r>
      <w:r>
        <w:rPr>
          <w:rFonts w:hint="eastAsia" w:ascii="仿宋" w:hAnsi="仿宋" w:eastAsia="仿宋"/>
          <w:sz w:val="32"/>
          <w:szCs w:val="32"/>
        </w:rPr>
        <w:t>办公室机关管理制度》、《</w:t>
      </w:r>
      <w:r>
        <w:rPr>
          <w:rFonts w:hint="eastAsia" w:ascii="仿宋" w:hAnsi="仿宋" w:eastAsia="仿宋"/>
          <w:sz w:val="32"/>
          <w:szCs w:val="32"/>
          <w:lang w:val="en-US" w:eastAsia="zh-CN"/>
        </w:rPr>
        <w:t>共青团益阳市赫山区委员会</w:t>
      </w:r>
      <w:r>
        <w:rPr>
          <w:rFonts w:hint="eastAsia" w:ascii="仿宋" w:hAnsi="仿宋" w:eastAsia="仿宋"/>
          <w:sz w:val="32"/>
          <w:szCs w:val="32"/>
        </w:rPr>
        <w:t>财务管理制度》、《</w:t>
      </w:r>
      <w:r>
        <w:rPr>
          <w:rFonts w:hint="eastAsia" w:ascii="仿宋" w:hAnsi="仿宋" w:eastAsia="仿宋"/>
          <w:sz w:val="32"/>
          <w:szCs w:val="32"/>
          <w:lang w:val="en-US" w:eastAsia="zh-CN"/>
        </w:rPr>
        <w:t>共青团益阳市赫山区委员会</w:t>
      </w:r>
      <w:r>
        <w:rPr>
          <w:rFonts w:hint="eastAsia" w:ascii="仿宋" w:hAnsi="仿宋" w:eastAsia="仿宋"/>
          <w:sz w:val="32"/>
          <w:szCs w:val="32"/>
        </w:rPr>
        <w:t>办公室物资采购制度》、《</w:t>
      </w:r>
      <w:r>
        <w:rPr>
          <w:rFonts w:hint="eastAsia" w:ascii="仿宋" w:hAnsi="仿宋" w:eastAsia="仿宋"/>
          <w:sz w:val="32"/>
          <w:szCs w:val="32"/>
          <w:lang w:val="en-US" w:eastAsia="zh-CN"/>
        </w:rPr>
        <w:t>共青团益阳市赫山区委员会</w:t>
      </w:r>
      <w:r>
        <w:rPr>
          <w:rFonts w:hint="eastAsia" w:ascii="仿宋" w:hAnsi="仿宋" w:eastAsia="仿宋"/>
          <w:sz w:val="32"/>
          <w:szCs w:val="32"/>
        </w:rPr>
        <w:t>办公室资产管理制度》等一系列内部控制制度，相关制度合法合规、完整，并得到有效执行。</w:t>
      </w:r>
    </w:p>
    <w:p>
      <w:pPr>
        <w:widowControl/>
        <w:shd w:val="clear" w:color="auto" w:fill="FFFFFF"/>
        <w:autoSpaceDE w:val="0"/>
        <w:spacing w:line="600" w:lineRule="exact"/>
        <w:ind w:firstLine="640"/>
        <w:jc w:val="left"/>
        <w:rPr>
          <w:rFonts w:hint="eastAsia" w:ascii="仿宋" w:hAnsi="仿宋" w:eastAsia="仿宋" w:cs="宋体"/>
          <w:color w:val="000000"/>
          <w:kern w:val="0"/>
          <w:sz w:val="32"/>
          <w:szCs w:val="32"/>
          <w:lang w:val="en-US" w:eastAsia="zh-CN"/>
        </w:rPr>
      </w:pPr>
      <w:r>
        <w:rPr>
          <w:rFonts w:hint="eastAsia" w:ascii="仿宋" w:hAnsi="仿宋" w:eastAsia="仿宋"/>
          <w:sz w:val="32"/>
          <w:szCs w:val="32"/>
        </w:rPr>
        <w:t>绩效目标完成情况：2017年，</w:t>
      </w:r>
      <w:r>
        <w:rPr>
          <w:rFonts w:hint="eastAsia" w:ascii="仿宋" w:hAnsi="仿宋" w:eastAsia="仿宋"/>
          <w:sz w:val="32"/>
          <w:szCs w:val="32"/>
          <w:lang w:val="en-US" w:eastAsia="zh-CN"/>
        </w:rPr>
        <w:t>在区委、区政府的正确领导下，在团市委的精心指导下，</w:t>
      </w:r>
      <w:r>
        <w:rPr>
          <w:rFonts w:hint="eastAsia" w:ascii="仿宋" w:hAnsi="仿宋" w:eastAsia="仿宋" w:cs="宋体"/>
          <w:color w:val="000000"/>
          <w:kern w:val="0"/>
          <w:sz w:val="32"/>
          <w:szCs w:val="32"/>
          <w:lang w:eastAsia="zh-CN"/>
        </w:rPr>
        <w:t>克服人手短缺、经验不足等种种困难，积极做好团</w:t>
      </w:r>
      <w:r>
        <w:rPr>
          <w:rFonts w:hint="eastAsia" w:ascii="仿宋" w:hAnsi="仿宋" w:eastAsia="仿宋" w:cs="宋体"/>
          <w:color w:val="000000"/>
          <w:kern w:val="0"/>
          <w:sz w:val="32"/>
          <w:szCs w:val="32"/>
          <w:lang w:val="en-US" w:eastAsia="zh-CN"/>
        </w:rPr>
        <w:t>区</w:t>
      </w:r>
      <w:r>
        <w:rPr>
          <w:rFonts w:hint="eastAsia" w:ascii="仿宋" w:hAnsi="仿宋" w:eastAsia="仿宋" w:cs="宋体"/>
          <w:color w:val="000000"/>
          <w:kern w:val="0"/>
          <w:sz w:val="32"/>
          <w:szCs w:val="32"/>
          <w:lang w:eastAsia="zh-CN"/>
        </w:rPr>
        <w:t>委财务管理工作，保</w:t>
      </w:r>
      <w:r>
        <w:rPr>
          <w:rFonts w:hint="eastAsia" w:ascii="仿宋" w:hAnsi="仿宋" w:eastAsia="仿宋"/>
          <w:sz w:val="32"/>
          <w:szCs w:val="32"/>
          <w:lang w:val="en-US" w:eastAsia="zh-CN"/>
        </w:rPr>
        <w:t>证了财政资金的安全。</w:t>
      </w:r>
      <w:r>
        <w:rPr>
          <w:rFonts w:hint="eastAsia" w:ascii="仿宋" w:hAnsi="仿宋" w:eastAsia="仿宋" w:cs="宋体"/>
          <w:color w:val="000000"/>
          <w:kern w:val="0"/>
          <w:sz w:val="32"/>
          <w:szCs w:val="32"/>
          <w:lang w:val="en-US" w:eastAsia="zh-CN"/>
        </w:rPr>
        <w:t>团区委</w:t>
      </w:r>
      <w:r>
        <w:rPr>
          <w:rFonts w:hint="eastAsia" w:ascii="仿宋" w:hAnsi="仿宋" w:eastAsia="仿宋" w:cs="宋体"/>
          <w:color w:val="000000"/>
          <w:kern w:val="0"/>
          <w:sz w:val="32"/>
          <w:szCs w:val="32"/>
          <w:lang w:eastAsia="zh-CN"/>
        </w:rPr>
        <w:t>主动服务党政大局，努力创新社会管理，抓基层、强基础、转作风、惠青年，推动了</w:t>
      </w:r>
      <w:r>
        <w:rPr>
          <w:rFonts w:hint="eastAsia" w:ascii="仿宋" w:hAnsi="仿宋" w:eastAsia="仿宋" w:cs="宋体"/>
          <w:color w:val="000000"/>
          <w:kern w:val="0"/>
          <w:sz w:val="32"/>
          <w:szCs w:val="32"/>
          <w:lang w:val="en-US" w:eastAsia="zh-CN"/>
        </w:rPr>
        <w:t>赫山区</w:t>
      </w:r>
      <w:r>
        <w:rPr>
          <w:rFonts w:hint="eastAsia" w:ascii="仿宋" w:hAnsi="仿宋" w:eastAsia="仿宋" w:cs="宋体"/>
          <w:color w:val="000000"/>
          <w:kern w:val="0"/>
          <w:sz w:val="32"/>
          <w:szCs w:val="32"/>
          <w:lang w:eastAsia="zh-CN"/>
        </w:rPr>
        <w:t>共青团事业稳步转型，为</w:t>
      </w:r>
      <w:r>
        <w:rPr>
          <w:rFonts w:hint="eastAsia" w:ascii="仿宋" w:hAnsi="仿宋" w:eastAsia="仿宋" w:cs="宋体"/>
          <w:color w:val="000000"/>
          <w:kern w:val="0"/>
          <w:sz w:val="32"/>
          <w:szCs w:val="32"/>
          <w:lang w:val="en-US" w:eastAsia="zh-CN"/>
        </w:rPr>
        <w:t>建设美丽富饶幸福新赫山</w:t>
      </w:r>
      <w:r>
        <w:rPr>
          <w:rFonts w:hint="eastAsia" w:ascii="仿宋" w:hAnsi="仿宋" w:eastAsia="仿宋" w:cs="宋体"/>
          <w:color w:val="000000"/>
          <w:kern w:val="0"/>
          <w:sz w:val="32"/>
          <w:szCs w:val="32"/>
          <w:lang w:eastAsia="zh-CN"/>
        </w:rPr>
        <w:t>作出了积极贡献。</w:t>
      </w:r>
    </w:p>
    <w:p>
      <w:pPr>
        <w:pStyle w:val="4"/>
        <w:keepNext w:val="0"/>
        <w:keepLines w:val="0"/>
        <w:pageBreakBefore w:val="0"/>
        <w:shd w:val="clear" w:color="auto" w:fill="FFFFFF"/>
        <w:kinsoku/>
        <w:wordWrap/>
        <w:overflowPunct/>
        <w:topLinePunct w:val="0"/>
        <w:autoSpaceDN/>
        <w:bidi w:val="0"/>
        <w:adjustRightInd/>
        <w:snapToGrid/>
        <w:spacing w:before="0" w:beforeAutospacing="0" w:after="0" w:afterAutospacing="0" w:line="560" w:lineRule="exact"/>
        <w:ind w:firstLine="640" w:firstLineChars="200"/>
        <w:jc w:val="both"/>
        <w:textAlignment w:val="auto"/>
        <w:outlineLvl w:val="9"/>
        <w:rPr>
          <w:rFonts w:hint="eastAsia" w:ascii="楷体" w:hAnsi="楷体" w:eastAsia="楷体" w:cs="楷体"/>
          <w:b w:val="0"/>
          <w:bCs w:val="0"/>
          <w:sz w:val="32"/>
          <w:szCs w:val="32"/>
        </w:rPr>
      </w:pPr>
      <w:r>
        <w:rPr>
          <w:rFonts w:hint="eastAsia" w:ascii="楷体" w:hAnsi="楷体" w:eastAsia="楷体" w:cs="楷体"/>
          <w:b w:val="0"/>
          <w:bCs w:val="0"/>
          <w:sz w:val="32"/>
          <w:szCs w:val="32"/>
        </w:rPr>
        <w:t>（三）部门整体支出实施情况分析</w:t>
      </w:r>
    </w:p>
    <w:p>
      <w:pPr>
        <w:pStyle w:val="4"/>
        <w:keepNext w:val="0"/>
        <w:keepLines w:val="0"/>
        <w:pageBreakBefore w:val="0"/>
        <w:shd w:val="clear" w:color="auto" w:fill="FFFFFF"/>
        <w:kinsoku/>
        <w:wordWrap/>
        <w:overflowPunct/>
        <w:topLinePunct w:val="0"/>
        <w:autoSpaceDN/>
        <w:bidi w:val="0"/>
        <w:adjustRightInd/>
        <w:snapToGrid/>
        <w:spacing w:before="0" w:beforeAutospacing="0" w:after="0" w:afterAutospacing="0" w:line="560" w:lineRule="exact"/>
        <w:ind w:firstLine="640" w:firstLineChars="200"/>
        <w:jc w:val="both"/>
        <w:textAlignment w:val="auto"/>
        <w:outlineLvl w:val="9"/>
        <w:rPr>
          <w:rFonts w:hint="eastAsia" w:ascii="仿宋" w:hAnsi="仿宋" w:eastAsia="仿宋"/>
          <w:sz w:val="32"/>
          <w:szCs w:val="32"/>
        </w:rPr>
      </w:pPr>
      <w:r>
        <w:rPr>
          <w:rFonts w:hint="eastAsia" w:ascii="仿宋" w:hAnsi="仿宋" w:eastAsia="仿宋"/>
          <w:sz w:val="32"/>
          <w:szCs w:val="32"/>
          <w:lang w:eastAsia="zh-CN"/>
        </w:rPr>
        <w:t>我委</w:t>
      </w:r>
      <w:r>
        <w:rPr>
          <w:rFonts w:hint="eastAsia" w:ascii="仿宋" w:hAnsi="仿宋" w:eastAsia="仿宋"/>
          <w:sz w:val="32"/>
          <w:szCs w:val="32"/>
        </w:rPr>
        <w:t>在部门整体支出中，严格按照年初预算安排，严格遵守资金管理制度，强化监督，专款专用，确保各项资金及时到位，无截留、挪用等现象。健全和完善管理制度，加强基本支出管理。严格审批程序，严格执行国家规定的开支范围及开支标准，量入为出，坚持会审联签制度。严格报账程序，实行国库集中支付制度，严格完善相关资料手续、审核审批程序，保证了各项资金使用的合理合规，充分发挥了各项资金的效益性。</w:t>
      </w:r>
    </w:p>
    <w:p>
      <w:pPr>
        <w:keepNext w:val="0"/>
        <w:keepLines w:val="0"/>
        <w:pageBreakBefore w:val="0"/>
        <w:numPr>
          <w:ilvl w:val="0"/>
          <w:numId w:val="0"/>
        </w:numPr>
        <w:kinsoku/>
        <w:wordWrap/>
        <w:overflowPunct/>
        <w:topLinePunct w:val="0"/>
        <w:autoSpaceDN/>
        <w:bidi w:val="0"/>
        <w:adjustRightInd/>
        <w:snapToGrid/>
        <w:spacing w:line="560" w:lineRule="exact"/>
        <w:ind w:firstLine="640" w:firstLineChars="200"/>
        <w:textAlignment w:val="auto"/>
        <w:outlineLvl w:val="9"/>
        <w:rPr>
          <w:rFonts w:hint="eastAsia" w:ascii="黑体" w:hAnsi="黑体" w:eastAsia="黑体" w:cs="黑体"/>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二、绩效评价工作情况</w:t>
      </w:r>
    </w:p>
    <w:p>
      <w:pPr>
        <w:pStyle w:val="4"/>
        <w:keepNext w:val="0"/>
        <w:keepLines w:val="0"/>
        <w:pageBreakBefore w:val="0"/>
        <w:shd w:val="clear" w:color="auto" w:fill="FFFFFF"/>
        <w:kinsoku/>
        <w:wordWrap/>
        <w:overflowPunct/>
        <w:topLinePunct w:val="0"/>
        <w:autoSpaceDN/>
        <w:bidi w:val="0"/>
        <w:adjustRightInd/>
        <w:snapToGrid/>
        <w:spacing w:before="0" w:beforeAutospacing="0" w:after="0" w:afterAutospacing="0" w:line="560" w:lineRule="exact"/>
        <w:ind w:firstLine="640" w:firstLineChars="200"/>
        <w:jc w:val="both"/>
        <w:textAlignment w:val="auto"/>
        <w:outlineLvl w:val="9"/>
        <w:rPr>
          <w:rFonts w:hint="eastAsia" w:ascii="楷体" w:hAnsi="楷体" w:eastAsia="楷体" w:cs="楷体"/>
          <w:b w:val="0"/>
          <w:bCs w:val="0"/>
          <w:sz w:val="32"/>
          <w:szCs w:val="32"/>
        </w:rPr>
      </w:pPr>
      <w:r>
        <w:rPr>
          <w:rFonts w:hint="eastAsia" w:ascii="楷体" w:hAnsi="楷体" w:eastAsia="楷体" w:cs="楷体"/>
          <w:b w:val="0"/>
          <w:bCs w:val="0"/>
          <w:sz w:val="32"/>
          <w:szCs w:val="32"/>
        </w:rPr>
        <w:t>（一）绩效评价目的</w:t>
      </w:r>
    </w:p>
    <w:p>
      <w:pPr>
        <w:pStyle w:val="4"/>
        <w:keepNext w:val="0"/>
        <w:keepLines w:val="0"/>
        <w:pageBreakBefore w:val="0"/>
        <w:shd w:val="clear" w:color="auto" w:fill="FFFFFF"/>
        <w:kinsoku/>
        <w:wordWrap/>
        <w:overflowPunct/>
        <w:topLinePunct w:val="0"/>
        <w:autoSpaceDN/>
        <w:bidi w:val="0"/>
        <w:adjustRightInd/>
        <w:snapToGrid/>
        <w:spacing w:before="0" w:beforeAutospacing="0" w:after="0" w:afterAutospacing="0" w:line="560" w:lineRule="exact"/>
        <w:ind w:firstLine="640" w:firstLineChars="200"/>
        <w:jc w:val="both"/>
        <w:textAlignment w:val="auto"/>
        <w:outlineLvl w:val="9"/>
        <w:rPr>
          <w:rFonts w:hint="eastAsia" w:ascii="仿宋" w:hAnsi="仿宋" w:eastAsia="仿宋"/>
          <w:sz w:val="32"/>
          <w:szCs w:val="32"/>
        </w:rPr>
      </w:pPr>
      <w:r>
        <w:rPr>
          <w:rFonts w:ascii="仿宋_GB2312" w:hAnsi="宋体" w:eastAsia="仿宋_GB2312" w:cs="仿宋_GB2312"/>
          <w:i w:val="0"/>
          <w:caps w:val="0"/>
          <w:color w:val="222222"/>
          <w:spacing w:val="0"/>
          <w:sz w:val="32"/>
          <w:szCs w:val="32"/>
          <w:shd w:val="clear" w:fill="FFFFFF"/>
        </w:rPr>
        <w:t>本次绩效评价的目的是为了全面分析和综合评价我</w:t>
      </w:r>
      <w:r>
        <w:rPr>
          <w:rFonts w:hint="default" w:ascii="仿宋_GB2312" w:hAnsi="宋体" w:eastAsia="仿宋_GB2312" w:cs="仿宋_GB2312"/>
          <w:i w:val="0"/>
          <w:caps w:val="0"/>
          <w:color w:val="222222"/>
          <w:spacing w:val="0"/>
          <w:sz w:val="32"/>
          <w:szCs w:val="32"/>
          <w:shd w:val="clear" w:fill="FFFFFF"/>
        </w:rPr>
        <w:t>委本级财政预算资金的使用管理情况，为切实提高财政资金使用效益，强化预算支出的责任和效率提供参考依据。</w:t>
      </w:r>
    </w:p>
    <w:p>
      <w:pPr>
        <w:pStyle w:val="4"/>
        <w:keepNext w:val="0"/>
        <w:keepLines w:val="0"/>
        <w:pageBreakBefore w:val="0"/>
        <w:shd w:val="clear" w:color="auto" w:fill="FFFFFF"/>
        <w:kinsoku/>
        <w:wordWrap/>
        <w:overflowPunct/>
        <w:topLinePunct w:val="0"/>
        <w:autoSpaceDN/>
        <w:bidi w:val="0"/>
        <w:adjustRightInd/>
        <w:snapToGrid/>
        <w:spacing w:before="0" w:beforeAutospacing="0" w:after="0" w:afterAutospacing="0" w:line="560" w:lineRule="exact"/>
        <w:ind w:firstLine="640" w:firstLineChars="200"/>
        <w:jc w:val="both"/>
        <w:textAlignment w:val="auto"/>
        <w:outlineLvl w:val="9"/>
        <w:rPr>
          <w:rFonts w:hint="eastAsia" w:ascii="楷体" w:hAnsi="楷体" w:eastAsia="楷体" w:cs="楷体"/>
          <w:b w:val="0"/>
          <w:bCs w:val="0"/>
          <w:sz w:val="32"/>
          <w:szCs w:val="32"/>
        </w:rPr>
      </w:pPr>
      <w:r>
        <w:rPr>
          <w:rFonts w:hint="eastAsia" w:ascii="楷体" w:hAnsi="楷体" w:eastAsia="楷体" w:cs="楷体"/>
          <w:b w:val="0"/>
          <w:bCs w:val="0"/>
          <w:sz w:val="32"/>
          <w:szCs w:val="32"/>
        </w:rPr>
        <w:t>（二）绩效评价工作过程</w:t>
      </w:r>
    </w:p>
    <w:p>
      <w:pPr>
        <w:pStyle w:val="4"/>
        <w:keepNext w:val="0"/>
        <w:keepLines w:val="0"/>
        <w:pageBreakBefore w:val="0"/>
        <w:shd w:val="clear" w:color="auto" w:fill="FFFFFF"/>
        <w:kinsoku/>
        <w:wordWrap/>
        <w:overflowPunct/>
        <w:topLinePunct w:val="0"/>
        <w:autoSpaceDN/>
        <w:bidi w:val="0"/>
        <w:adjustRightInd/>
        <w:snapToGrid/>
        <w:spacing w:before="0" w:beforeAutospacing="0" w:after="0" w:afterAutospacing="0" w:line="560" w:lineRule="exact"/>
        <w:ind w:firstLine="640" w:firstLineChars="200"/>
        <w:jc w:val="both"/>
        <w:textAlignment w:val="auto"/>
        <w:outlineLvl w:val="9"/>
        <w:rPr>
          <w:rFonts w:hint="eastAsia" w:ascii="仿宋_GB2312" w:eastAsia="仿宋_GB2312" w:cs="仿宋_GB2312"/>
          <w:i w:val="0"/>
          <w:caps w:val="0"/>
          <w:color w:val="222222"/>
          <w:spacing w:val="0"/>
          <w:sz w:val="32"/>
          <w:szCs w:val="32"/>
          <w:shd w:val="clear" w:fill="FFFFFF"/>
          <w:lang w:val="en-US" w:eastAsia="zh-CN"/>
        </w:rPr>
      </w:pPr>
      <w:r>
        <w:rPr>
          <w:rFonts w:hint="eastAsia" w:ascii="仿宋_GB2312" w:eastAsia="仿宋_GB2312" w:cs="仿宋_GB2312"/>
          <w:i w:val="0"/>
          <w:caps w:val="0"/>
          <w:color w:val="222222"/>
          <w:spacing w:val="0"/>
          <w:sz w:val="32"/>
          <w:szCs w:val="32"/>
          <w:shd w:val="clear" w:fill="FFFFFF"/>
          <w:lang w:val="en-US" w:eastAsia="zh-CN"/>
        </w:rPr>
        <w:t>我们</w:t>
      </w:r>
      <w:r>
        <w:rPr>
          <w:rFonts w:ascii="仿宋_GB2312" w:hAnsi="宋体" w:eastAsia="仿宋_GB2312" w:cs="仿宋_GB2312"/>
          <w:i w:val="0"/>
          <w:caps w:val="0"/>
          <w:color w:val="222222"/>
          <w:spacing w:val="0"/>
          <w:sz w:val="32"/>
          <w:szCs w:val="32"/>
          <w:shd w:val="clear" w:fill="FFFFFF"/>
        </w:rPr>
        <w:t>按照</w:t>
      </w:r>
      <w:r>
        <w:rPr>
          <w:rFonts w:hint="eastAsia" w:ascii="仿宋_GB2312" w:eastAsia="仿宋_GB2312" w:cs="仿宋_GB2312"/>
          <w:i w:val="0"/>
          <w:caps w:val="0"/>
          <w:color w:val="222222"/>
          <w:spacing w:val="0"/>
          <w:sz w:val="32"/>
          <w:szCs w:val="32"/>
          <w:shd w:val="clear" w:fill="FFFFFF"/>
          <w:lang w:val="en-US" w:eastAsia="zh-CN"/>
        </w:rPr>
        <w:t>区</w:t>
      </w:r>
      <w:r>
        <w:rPr>
          <w:rFonts w:hint="default" w:ascii="仿宋_GB2312" w:hAnsi="宋体" w:eastAsia="仿宋_GB2312" w:cs="仿宋_GB2312"/>
          <w:i w:val="0"/>
          <w:caps w:val="0"/>
          <w:color w:val="222222"/>
          <w:spacing w:val="0"/>
          <w:sz w:val="32"/>
          <w:szCs w:val="32"/>
          <w:shd w:val="clear" w:fill="FFFFFF"/>
        </w:rPr>
        <w:t>财政局绩效评价规程要求，第一阶段为前期准备：由副书记牵头，组织有关人员制定了详细的工作方案，明确责任，确定评价指标细则；第二阶段为自评：根据上一阶段任务布置，按照要求展开自评工作，并将评价结果</w:t>
      </w:r>
      <w:r>
        <w:rPr>
          <w:rFonts w:hint="eastAsia" w:ascii="仿宋_GB2312" w:eastAsia="仿宋_GB2312" w:cs="仿宋_GB2312"/>
          <w:i w:val="0"/>
          <w:caps w:val="0"/>
          <w:color w:val="222222"/>
          <w:spacing w:val="0"/>
          <w:sz w:val="32"/>
          <w:szCs w:val="32"/>
          <w:shd w:val="clear" w:fill="FFFFFF"/>
          <w:lang w:val="en-US" w:eastAsia="zh-CN"/>
        </w:rPr>
        <w:t>进行整理</w:t>
      </w:r>
      <w:r>
        <w:rPr>
          <w:rFonts w:hint="default" w:ascii="仿宋_GB2312" w:hAnsi="宋体" w:eastAsia="仿宋_GB2312" w:cs="仿宋_GB2312"/>
          <w:i w:val="0"/>
          <w:caps w:val="0"/>
          <w:color w:val="222222"/>
          <w:spacing w:val="0"/>
          <w:sz w:val="32"/>
          <w:szCs w:val="32"/>
          <w:shd w:val="clear" w:fill="FFFFFF"/>
        </w:rPr>
        <w:t>；第三阶段为定性终评，并出具评价报告：在自评的基础上，查阅相关文件资料和财务凭证，对收集资料进行定量定性分析，综合评议后形成评价结论，出具绩效评价报告。</w:t>
      </w:r>
      <w:r>
        <w:rPr>
          <w:rFonts w:hint="eastAsia" w:ascii="仿宋_GB2312" w:eastAsia="仿宋_GB2312" w:cs="仿宋_GB2312"/>
          <w:i w:val="0"/>
          <w:caps w:val="0"/>
          <w:color w:val="222222"/>
          <w:spacing w:val="0"/>
          <w:sz w:val="32"/>
          <w:szCs w:val="32"/>
          <w:shd w:val="clear" w:fill="FFFFFF"/>
          <w:lang w:val="en-US" w:eastAsia="zh-CN"/>
        </w:rPr>
        <w:t xml:space="preserve"> </w:t>
      </w:r>
    </w:p>
    <w:p>
      <w:pPr>
        <w:keepNext w:val="0"/>
        <w:keepLines w:val="0"/>
        <w:pageBreakBefore w:val="0"/>
        <w:numPr>
          <w:ilvl w:val="0"/>
          <w:numId w:val="0"/>
        </w:numPr>
        <w:kinsoku/>
        <w:wordWrap/>
        <w:overflowPunct/>
        <w:topLinePunct w:val="0"/>
        <w:autoSpaceDN/>
        <w:bidi w:val="0"/>
        <w:adjustRightInd/>
        <w:snapToGrid/>
        <w:spacing w:line="560" w:lineRule="exact"/>
        <w:ind w:firstLine="640" w:firstLineChars="200"/>
        <w:textAlignment w:val="auto"/>
        <w:outlineLvl w:val="9"/>
        <w:rPr>
          <w:rFonts w:hint="eastAsia" w:ascii="黑体" w:hAnsi="黑体" w:eastAsia="黑体" w:cs="黑体"/>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三、主要绩效及评价结论</w:t>
      </w:r>
    </w:p>
    <w:p>
      <w:pPr>
        <w:pStyle w:val="4"/>
        <w:keepNext w:val="0"/>
        <w:keepLines w:val="0"/>
        <w:pageBreakBefore w:val="0"/>
        <w:shd w:val="clear" w:color="auto" w:fill="FFFFFF"/>
        <w:kinsoku/>
        <w:wordWrap/>
        <w:overflowPunct/>
        <w:topLinePunct w:val="0"/>
        <w:autoSpaceDN/>
        <w:bidi w:val="0"/>
        <w:adjustRightInd/>
        <w:snapToGrid/>
        <w:spacing w:before="0" w:beforeAutospacing="0" w:after="0" w:afterAutospacing="0" w:line="560" w:lineRule="exact"/>
        <w:ind w:firstLine="640" w:firstLineChars="200"/>
        <w:jc w:val="both"/>
        <w:textAlignment w:val="auto"/>
        <w:outlineLvl w:val="9"/>
        <w:rPr>
          <w:rFonts w:hint="eastAsia" w:ascii="楷体" w:hAnsi="楷体" w:eastAsia="楷体" w:cs="楷体"/>
          <w:b w:val="0"/>
          <w:bCs w:val="0"/>
          <w:sz w:val="32"/>
          <w:szCs w:val="32"/>
        </w:rPr>
      </w:pPr>
      <w:r>
        <w:rPr>
          <w:rFonts w:hint="eastAsia" w:ascii="楷体" w:hAnsi="楷体" w:eastAsia="楷体" w:cs="楷体"/>
          <w:b w:val="0"/>
          <w:bCs w:val="0"/>
          <w:sz w:val="32"/>
          <w:szCs w:val="32"/>
        </w:rPr>
        <w:t>（一）经济性分析</w:t>
      </w:r>
    </w:p>
    <w:p>
      <w:pPr>
        <w:pStyle w:val="4"/>
        <w:keepNext w:val="0"/>
        <w:keepLines w:val="0"/>
        <w:pageBreakBefore w:val="0"/>
        <w:shd w:val="clear" w:color="auto" w:fill="FFFFFF"/>
        <w:kinsoku/>
        <w:wordWrap/>
        <w:overflowPunct/>
        <w:topLinePunct w:val="0"/>
        <w:autoSpaceDN/>
        <w:bidi w:val="0"/>
        <w:adjustRightInd/>
        <w:snapToGrid/>
        <w:spacing w:before="0" w:beforeAutospacing="0" w:after="0" w:afterAutospacing="0" w:line="560" w:lineRule="exact"/>
        <w:ind w:firstLine="800" w:firstLineChars="250"/>
        <w:jc w:val="both"/>
        <w:textAlignment w:val="auto"/>
        <w:outlineLvl w:val="9"/>
        <w:rPr>
          <w:rFonts w:hint="eastAsia"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eastAsia="zh-CN"/>
        </w:rPr>
        <w:t>、</w:t>
      </w:r>
      <w:r>
        <w:rPr>
          <w:rFonts w:hint="eastAsia" w:ascii="仿宋" w:hAnsi="仿宋" w:eastAsia="仿宋"/>
          <w:sz w:val="32"/>
          <w:szCs w:val="32"/>
        </w:rPr>
        <w:t>本年预算配置控制较好。财政供养人员控制在预算编制以内，编制内在职人员控制率为</w:t>
      </w:r>
      <w:r>
        <w:rPr>
          <w:rFonts w:hint="eastAsia" w:ascii="仿宋" w:hAnsi="仿宋" w:eastAsia="仿宋"/>
          <w:sz w:val="32"/>
          <w:szCs w:val="32"/>
          <w:lang w:val="en-US" w:eastAsia="zh-CN"/>
        </w:rPr>
        <w:t>100</w:t>
      </w:r>
      <w:r>
        <w:rPr>
          <w:rFonts w:hint="eastAsia" w:ascii="仿宋" w:hAnsi="仿宋" w:eastAsia="仿宋"/>
          <w:sz w:val="32"/>
          <w:szCs w:val="32"/>
        </w:rPr>
        <w:t>%；“三公”经费低于年初预算。</w:t>
      </w:r>
    </w:p>
    <w:p>
      <w:pPr>
        <w:pStyle w:val="4"/>
        <w:keepNext w:val="0"/>
        <w:keepLines w:val="0"/>
        <w:pageBreakBefore w:val="0"/>
        <w:shd w:val="clear" w:color="auto" w:fill="FFFFFF"/>
        <w:kinsoku/>
        <w:wordWrap/>
        <w:overflowPunct/>
        <w:topLinePunct w:val="0"/>
        <w:autoSpaceDN/>
        <w:bidi w:val="0"/>
        <w:adjustRightInd/>
        <w:snapToGrid/>
        <w:spacing w:before="0" w:beforeAutospacing="0" w:after="0" w:afterAutospacing="0" w:line="560" w:lineRule="exact"/>
        <w:ind w:firstLine="800" w:firstLineChars="250"/>
        <w:jc w:val="both"/>
        <w:textAlignment w:val="auto"/>
        <w:outlineLvl w:val="9"/>
        <w:rPr>
          <w:rFonts w:hint="eastAsia" w:ascii="仿宋" w:hAnsi="仿宋" w:eastAsia="仿宋"/>
          <w:sz w:val="32"/>
          <w:szCs w:val="32"/>
        </w:rPr>
      </w:pPr>
      <w:r>
        <w:rPr>
          <w:rFonts w:hint="eastAsia" w:ascii="仿宋" w:hAnsi="仿宋" w:eastAsia="仿宋"/>
          <w:sz w:val="32"/>
          <w:szCs w:val="32"/>
        </w:rPr>
        <w:t>2</w:t>
      </w:r>
      <w:r>
        <w:rPr>
          <w:rFonts w:hint="eastAsia" w:ascii="仿宋" w:hAnsi="仿宋" w:eastAsia="仿宋"/>
          <w:sz w:val="32"/>
          <w:szCs w:val="32"/>
          <w:lang w:eastAsia="zh-CN"/>
        </w:rPr>
        <w:t>、</w:t>
      </w:r>
      <w:r>
        <w:rPr>
          <w:rFonts w:hint="eastAsia" w:ascii="仿宋" w:hAnsi="仿宋" w:eastAsia="仿宋"/>
          <w:sz w:val="32"/>
          <w:szCs w:val="32"/>
        </w:rPr>
        <w:t xml:space="preserve"> 预算执行方面。支出总额控制在预算总额以内，所有支出严格依照相关财务管理规定执行，特别重视量财办事、量力而行，严格控制标准、注重节约，少花钱办好事，各项支出都在合理范围内。</w:t>
      </w:r>
    </w:p>
    <w:p>
      <w:pPr>
        <w:pStyle w:val="4"/>
        <w:keepNext w:val="0"/>
        <w:keepLines w:val="0"/>
        <w:pageBreakBefore w:val="0"/>
        <w:shd w:val="clear" w:color="auto" w:fill="FFFFFF"/>
        <w:kinsoku/>
        <w:wordWrap/>
        <w:overflowPunct/>
        <w:topLinePunct w:val="0"/>
        <w:autoSpaceDN/>
        <w:bidi w:val="0"/>
        <w:adjustRightInd/>
        <w:snapToGrid/>
        <w:spacing w:before="0" w:beforeAutospacing="0" w:after="0" w:afterAutospacing="0" w:line="560" w:lineRule="exact"/>
        <w:ind w:firstLine="800" w:firstLineChars="250"/>
        <w:jc w:val="both"/>
        <w:textAlignment w:val="auto"/>
        <w:outlineLvl w:val="9"/>
        <w:rPr>
          <w:rFonts w:hint="eastAsia" w:ascii="仿宋" w:hAnsi="仿宋" w:eastAsia="仿宋"/>
          <w:sz w:val="32"/>
          <w:szCs w:val="32"/>
        </w:rPr>
      </w:pPr>
      <w:r>
        <w:rPr>
          <w:rFonts w:hint="eastAsia" w:ascii="仿宋" w:hAnsi="仿宋" w:eastAsia="仿宋"/>
          <w:sz w:val="32"/>
          <w:szCs w:val="32"/>
        </w:rPr>
        <w:t>3、预算管理方面。</w:t>
      </w:r>
      <w:r>
        <w:rPr>
          <w:rFonts w:hint="eastAsia" w:ascii="仿宋" w:hAnsi="仿宋" w:eastAsia="仿宋"/>
          <w:sz w:val="32"/>
          <w:szCs w:val="32"/>
          <w:lang w:eastAsia="zh-CN"/>
        </w:rPr>
        <w:t>我委</w:t>
      </w:r>
      <w:r>
        <w:rPr>
          <w:rFonts w:hint="eastAsia" w:ascii="仿宋" w:hAnsi="仿宋" w:eastAsia="仿宋"/>
          <w:sz w:val="32"/>
          <w:szCs w:val="32"/>
        </w:rPr>
        <w:t>制定了切实有效的内部管理制度和经费支出控制方案，有较强的内控风险管理意识、各项经费支出得到了有效控制。</w:t>
      </w:r>
    </w:p>
    <w:p>
      <w:pPr>
        <w:pStyle w:val="4"/>
        <w:keepNext w:val="0"/>
        <w:keepLines w:val="0"/>
        <w:pageBreakBefore w:val="0"/>
        <w:shd w:val="clear" w:color="auto" w:fill="FFFFFF"/>
        <w:kinsoku/>
        <w:wordWrap/>
        <w:overflowPunct/>
        <w:topLinePunct w:val="0"/>
        <w:autoSpaceDN/>
        <w:bidi w:val="0"/>
        <w:adjustRightInd/>
        <w:snapToGrid/>
        <w:spacing w:before="0" w:beforeAutospacing="0" w:after="0" w:afterAutospacing="0" w:line="560" w:lineRule="exact"/>
        <w:ind w:firstLine="640" w:firstLineChars="200"/>
        <w:jc w:val="both"/>
        <w:textAlignment w:val="auto"/>
        <w:outlineLvl w:val="9"/>
        <w:rPr>
          <w:rFonts w:hint="eastAsia" w:ascii="楷体" w:hAnsi="楷体" w:eastAsia="楷体" w:cs="楷体"/>
          <w:b w:val="0"/>
          <w:bCs w:val="0"/>
          <w:sz w:val="32"/>
          <w:szCs w:val="32"/>
        </w:rPr>
      </w:pPr>
      <w:r>
        <w:rPr>
          <w:rFonts w:hint="eastAsia" w:ascii="楷体" w:hAnsi="楷体" w:eastAsia="楷体" w:cs="楷体"/>
          <w:b w:val="0"/>
          <w:bCs w:val="0"/>
          <w:sz w:val="32"/>
          <w:szCs w:val="32"/>
        </w:rPr>
        <w:t>（二）效率性分析</w:t>
      </w:r>
    </w:p>
    <w:p>
      <w:pPr>
        <w:keepNext w:val="0"/>
        <w:keepLines w:val="0"/>
        <w:pageBreakBefore w:val="0"/>
        <w:widowControl/>
        <w:shd w:val="clear" w:color="auto" w:fill="FFFFFF"/>
        <w:kinsoku/>
        <w:wordWrap/>
        <w:overflowPunct/>
        <w:topLinePunct w:val="0"/>
        <w:autoSpaceDE w:val="0"/>
        <w:autoSpaceDN/>
        <w:bidi w:val="0"/>
        <w:adjustRightInd/>
        <w:snapToGrid/>
        <w:spacing w:line="560" w:lineRule="exact"/>
        <w:ind w:firstLine="640"/>
        <w:jc w:val="left"/>
        <w:textAlignment w:val="auto"/>
        <w:outlineLvl w:val="9"/>
        <w:rPr>
          <w:rFonts w:ascii="仿宋" w:hAnsi="仿宋" w:eastAsia="仿宋" w:cs="宋体"/>
          <w:color w:val="000000"/>
          <w:kern w:val="0"/>
          <w:sz w:val="32"/>
          <w:szCs w:val="32"/>
          <w:lang w:eastAsia="zh-CN"/>
        </w:rPr>
      </w:pPr>
      <w:r>
        <w:rPr>
          <w:rFonts w:hint="eastAsia" w:ascii="仿宋" w:hAnsi="仿宋" w:eastAsia="仿宋" w:cs="宋体"/>
          <w:color w:val="000000"/>
          <w:kern w:val="0"/>
          <w:sz w:val="32"/>
          <w:szCs w:val="32"/>
          <w:lang w:eastAsia="zh-CN"/>
        </w:rPr>
        <w:t>预算安排的基本支出保障了正常的工作运转，预算安排的项目支出是非常必要的，在执行上是严格遵守各项财经纪律的，在项目资金的使用上也是放心的，严守法律底线、纪律底线、道德底线。</w:t>
      </w:r>
    </w:p>
    <w:p>
      <w:pPr>
        <w:pStyle w:val="4"/>
        <w:keepNext w:val="0"/>
        <w:keepLines w:val="0"/>
        <w:pageBreakBefore w:val="0"/>
        <w:shd w:val="clear" w:color="auto" w:fill="FFFFFF"/>
        <w:kinsoku/>
        <w:wordWrap/>
        <w:overflowPunct/>
        <w:topLinePunct w:val="0"/>
        <w:autoSpaceDN/>
        <w:bidi w:val="0"/>
        <w:adjustRightInd/>
        <w:snapToGrid/>
        <w:spacing w:before="0" w:beforeAutospacing="0" w:after="0" w:afterAutospacing="0" w:line="560" w:lineRule="exact"/>
        <w:ind w:firstLine="640" w:firstLineChars="200"/>
        <w:jc w:val="both"/>
        <w:textAlignment w:val="auto"/>
        <w:outlineLvl w:val="9"/>
        <w:rPr>
          <w:rFonts w:hint="eastAsia" w:ascii="楷体" w:hAnsi="楷体" w:eastAsia="楷体" w:cs="楷体"/>
          <w:b w:val="0"/>
          <w:bCs w:val="0"/>
          <w:sz w:val="32"/>
          <w:szCs w:val="32"/>
        </w:rPr>
      </w:pPr>
      <w:r>
        <w:rPr>
          <w:rFonts w:hint="eastAsia" w:ascii="楷体" w:hAnsi="楷体" w:eastAsia="楷体" w:cs="楷体"/>
          <w:b w:val="0"/>
          <w:bCs w:val="0"/>
          <w:sz w:val="32"/>
          <w:szCs w:val="32"/>
        </w:rPr>
        <w:t>（三）效益性分析</w:t>
      </w:r>
    </w:p>
    <w:p>
      <w:pPr>
        <w:pStyle w:val="4"/>
        <w:keepNext w:val="0"/>
        <w:keepLines w:val="0"/>
        <w:pageBreakBefore w:val="0"/>
        <w:shd w:val="clear" w:color="auto" w:fill="FFFFFF"/>
        <w:kinsoku/>
        <w:wordWrap/>
        <w:overflowPunct/>
        <w:topLinePunct w:val="0"/>
        <w:autoSpaceDN/>
        <w:bidi w:val="0"/>
        <w:adjustRightInd/>
        <w:snapToGrid/>
        <w:spacing w:before="0" w:beforeAutospacing="0" w:after="0" w:afterAutospacing="0" w:line="560" w:lineRule="exact"/>
        <w:ind w:firstLine="800" w:firstLineChars="250"/>
        <w:jc w:val="both"/>
        <w:textAlignment w:val="auto"/>
        <w:outlineLvl w:val="9"/>
        <w:rPr>
          <w:rFonts w:hint="eastAsia" w:ascii="仿宋" w:hAnsi="仿宋" w:eastAsia="仿宋"/>
          <w:sz w:val="32"/>
          <w:szCs w:val="32"/>
        </w:rPr>
      </w:pPr>
      <w:r>
        <w:rPr>
          <w:rFonts w:hint="eastAsia" w:ascii="仿宋" w:hAnsi="仿宋" w:eastAsia="仿宋"/>
          <w:sz w:val="32"/>
          <w:szCs w:val="32"/>
        </w:rPr>
        <w:t>2017年，我</w:t>
      </w:r>
      <w:r>
        <w:rPr>
          <w:rFonts w:hint="eastAsia" w:ascii="仿宋" w:hAnsi="仿宋" w:eastAsia="仿宋"/>
          <w:sz w:val="32"/>
          <w:szCs w:val="32"/>
          <w:lang w:val="en-US" w:eastAsia="zh-CN"/>
        </w:rPr>
        <w:t>委</w:t>
      </w:r>
      <w:r>
        <w:rPr>
          <w:rFonts w:hint="eastAsia" w:ascii="仿宋" w:hAnsi="仿宋" w:eastAsia="仿宋"/>
          <w:sz w:val="32"/>
          <w:szCs w:val="32"/>
        </w:rPr>
        <w:t>干部职工认真贯彻落实区委区政府决策部署，努力工作，创先争优，不仅按照年初工作安排较好地完成各项工作任务，而且取得较好的成绩。</w:t>
      </w:r>
    </w:p>
    <w:p>
      <w:pPr>
        <w:pStyle w:val="4"/>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560" w:lineRule="exact"/>
        <w:ind w:left="640" w:leftChars="0" w:right="0" w:rightChars="0"/>
        <w:textAlignment w:val="auto"/>
        <w:outlineLvl w:val="9"/>
        <w:rPr>
          <w:rFonts w:hint="eastAsia" w:ascii="仿宋" w:hAnsi="仿宋" w:eastAsia="仿宋" w:cs="仿宋"/>
          <w:b/>
          <w:bCs/>
          <w:i w:val="0"/>
          <w:caps w:val="0"/>
          <w:color w:val="000000"/>
          <w:spacing w:val="0"/>
          <w:sz w:val="32"/>
          <w:szCs w:val="32"/>
          <w:shd w:val="clear" w:fill="FFFFFF"/>
        </w:rPr>
      </w:pPr>
      <w:r>
        <w:rPr>
          <w:rFonts w:hint="eastAsia" w:ascii="仿宋" w:hAnsi="仿宋" w:eastAsia="仿宋" w:cs="仿宋"/>
          <w:b/>
          <w:bCs/>
          <w:i w:val="0"/>
          <w:caps w:val="0"/>
          <w:color w:val="000000"/>
          <w:spacing w:val="0"/>
          <w:sz w:val="32"/>
          <w:szCs w:val="32"/>
          <w:shd w:val="clear" w:fill="FFFFFF"/>
          <w:lang w:val="en-US" w:eastAsia="zh-CN"/>
        </w:rPr>
        <w:t>1、</w:t>
      </w:r>
      <w:r>
        <w:rPr>
          <w:rFonts w:hint="eastAsia" w:ascii="仿宋" w:hAnsi="仿宋" w:eastAsia="仿宋" w:cs="仿宋"/>
          <w:b/>
          <w:bCs/>
          <w:i w:val="0"/>
          <w:caps w:val="0"/>
          <w:color w:val="000000"/>
          <w:spacing w:val="0"/>
          <w:sz w:val="32"/>
          <w:szCs w:val="32"/>
          <w:shd w:val="clear" w:fill="FFFFFF"/>
          <w:lang w:eastAsia="zh-CN"/>
        </w:rPr>
        <w:t>夯实基层</w:t>
      </w:r>
      <w:r>
        <w:rPr>
          <w:rFonts w:hint="eastAsia" w:ascii="仿宋" w:hAnsi="仿宋" w:eastAsia="仿宋" w:cs="仿宋"/>
          <w:b/>
          <w:bCs/>
          <w:i w:val="0"/>
          <w:caps w:val="0"/>
          <w:color w:val="000000"/>
          <w:spacing w:val="0"/>
          <w:sz w:val="32"/>
          <w:szCs w:val="32"/>
          <w:shd w:val="clear" w:fill="FFFFFF"/>
        </w:rPr>
        <w:t>基础</w:t>
      </w:r>
      <w:r>
        <w:rPr>
          <w:rFonts w:hint="eastAsia" w:ascii="仿宋" w:hAnsi="仿宋" w:eastAsia="仿宋" w:cs="仿宋"/>
          <w:b/>
          <w:bCs/>
          <w:i w:val="0"/>
          <w:caps w:val="0"/>
          <w:color w:val="000000"/>
          <w:spacing w:val="0"/>
          <w:sz w:val="32"/>
          <w:szCs w:val="32"/>
          <w:shd w:val="clear" w:fill="FFFFFF"/>
          <w:lang w:eastAsia="zh-CN"/>
        </w:rPr>
        <w:t>，</w:t>
      </w:r>
      <w:r>
        <w:rPr>
          <w:rFonts w:hint="eastAsia" w:ascii="仿宋" w:hAnsi="仿宋" w:eastAsia="仿宋" w:cs="仿宋"/>
          <w:b/>
          <w:bCs/>
          <w:i w:val="0"/>
          <w:caps w:val="0"/>
          <w:color w:val="000000"/>
          <w:spacing w:val="0"/>
          <w:sz w:val="32"/>
          <w:szCs w:val="32"/>
          <w:shd w:val="clear" w:fill="FFFFFF"/>
        </w:rPr>
        <w:t>强化</w:t>
      </w:r>
      <w:r>
        <w:rPr>
          <w:rFonts w:hint="eastAsia" w:ascii="仿宋" w:hAnsi="仿宋" w:eastAsia="仿宋" w:cs="仿宋"/>
          <w:b/>
          <w:bCs/>
          <w:i w:val="0"/>
          <w:caps w:val="0"/>
          <w:color w:val="000000"/>
          <w:spacing w:val="0"/>
          <w:sz w:val="32"/>
          <w:szCs w:val="32"/>
          <w:shd w:val="clear" w:fill="FFFFFF"/>
          <w:lang w:eastAsia="zh-CN"/>
        </w:rPr>
        <w:t>共青团队伍</w:t>
      </w:r>
      <w:r>
        <w:rPr>
          <w:rFonts w:hint="eastAsia" w:ascii="仿宋" w:hAnsi="仿宋" w:eastAsia="仿宋" w:cs="仿宋"/>
          <w:b/>
          <w:bCs/>
          <w:i w:val="0"/>
          <w:caps w:val="0"/>
          <w:color w:val="000000"/>
          <w:spacing w:val="0"/>
          <w:sz w:val="32"/>
          <w:szCs w:val="32"/>
          <w:shd w:val="clear" w:fill="FFFFFF"/>
        </w:rPr>
        <w:t>建设</w:t>
      </w:r>
    </w:p>
    <w:p>
      <w:pPr>
        <w:keepNext w:val="0"/>
        <w:keepLines w:val="0"/>
        <w:pageBreakBefore w:val="0"/>
        <w:numPr>
          <w:ilvl w:val="0"/>
          <w:numId w:val="0"/>
        </w:numPr>
        <w:shd w:val="clear" w:fill="FFFFFF" w:themeFill="background1"/>
        <w:kinsoku/>
        <w:wordWrap/>
        <w:overflowPunct/>
        <w:topLinePunct w:val="0"/>
        <w:autoSpaceDE/>
        <w:autoSpaceDN/>
        <w:bidi w:val="0"/>
        <w:adjustRightInd/>
        <w:snapToGrid/>
        <w:spacing w:beforeAutospacing="0" w:afterAutospacing="0" w:line="560" w:lineRule="exact"/>
        <w:ind w:right="0" w:rightChars="0"/>
        <w:textAlignment w:val="auto"/>
        <w:outlineLvl w:val="9"/>
        <w:rPr>
          <w:rFonts w:hint="eastAsia" w:ascii="仿宋" w:hAnsi="仿宋" w:eastAsia="仿宋" w:cs="仿宋"/>
          <w:b w:val="0"/>
          <w:bCs w:val="0"/>
          <w:i w:val="0"/>
          <w:caps w:val="0"/>
          <w:color w:val="000000"/>
          <w:spacing w:val="0"/>
          <w:kern w:val="0"/>
          <w:sz w:val="32"/>
          <w:szCs w:val="32"/>
          <w:shd w:val="clear" w:fill="FFFFFF"/>
          <w:lang w:val="zh-TW" w:eastAsia="zh-TW" w:bidi="ar"/>
        </w:rPr>
      </w:pPr>
      <w:r>
        <w:rPr>
          <w:rFonts w:hint="eastAsia" w:ascii="仿宋" w:hAnsi="仿宋" w:eastAsia="仿宋" w:cs="仿宋"/>
          <w:b w:val="0"/>
          <w:bCs w:val="0"/>
          <w:i w:val="0"/>
          <w:caps w:val="0"/>
          <w:color w:val="000000"/>
          <w:spacing w:val="0"/>
          <w:sz w:val="32"/>
          <w:szCs w:val="32"/>
          <w:lang w:val="en-US" w:eastAsia="zh-CN"/>
        </w:rPr>
        <w:t xml:space="preserve">   </w:t>
      </w:r>
      <w:r>
        <w:rPr>
          <w:rFonts w:hint="eastAsia" w:ascii="仿宋" w:hAnsi="仿宋" w:eastAsia="仿宋" w:cs="仿宋"/>
          <w:b w:val="0"/>
          <w:bCs w:val="0"/>
          <w:color w:val="000000"/>
          <w:kern w:val="2"/>
          <w:sz w:val="32"/>
          <w:szCs w:val="32"/>
          <w:lang w:val="en-US" w:eastAsia="zh-CN" w:bidi="ar-SA"/>
        </w:rPr>
        <w:t>一是不断增强团的组织建设。</w:t>
      </w:r>
      <w:r>
        <w:rPr>
          <w:rFonts w:hint="eastAsia" w:ascii="仿宋" w:hAnsi="仿宋" w:eastAsia="仿宋" w:cs="仿宋"/>
          <w:b w:val="0"/>
          <w:bCs w:val="0"/>
          <w:i w:val="0"/>
          <w:caps w:val="0"/>
          <w:color w:val="000000"/>
          <w:spacing w:val="0"/>
          <w:kern w:val="0"/>
          <w:sz w:val="32"/>
          <w:szCs w:val="32"/>
          <w:shd w:val="clear" w:fill="FFFFFF"/>
          <w:lang w:val="zh-TW" w:eastAsia="zh-CN" w:bidi="ar"/>
        </w:rPr>
        <w:t>全面完成村（社区）团组织换届，全区</w:t>
      </w:r>
      <w:r>
        <w:rPr>
          <w:rFonts w:hint="eastAsia" w:ascii="仿宋" w:hAnsi="仿宋" w:eastAsia="仿宋" w:cs="仿宋"/>
          <w:b w:val="0"/>
          <w:bCs w:val="0"/>
          <w:i w:val="0"/>
          <w:caps w:val="0"/>
          <w:color w:val="000000"/>
          <w:spacing w:val="0"/>
          <w:kern w:val="0"/>
          <w:sz w:val="32"/>
          <w:szCs w:val="32"/>
          <w:shd w:val="clear" w:fill="FFFFFF"/>
          <w:lang w:val="en-US" w:eastAsia="zh-CN" w:bidi="ar"/>
        </w:rPr>
        <w:t>61个社区、147个村均完成换届任务，选优配强了团组织负责人。二是</w:t>
      </w:r>
      <w:r>
        <w:rPr>
          <w:rFonts w:hint="eastAsia" w:ascii="仿宋" w:hAnsi="仿宋" w:eastAsia="仿宋" w:cs="仿宋"/>
          <w:b w:val="0"/>
          <w:bCs w:val="0"/>
          <w:color w:val="000000"/>
          <w:kern w:val="2"/>
          <w:sz w:val="32"/>
          <w:szCs w:val="32"/>
          <w:lang w:val="en-US" w:eastAsia="zh-CN" w:bidi="ar-SA"/>
        </w:rPr>
        <w:t>继续加强“两新”组织团建工作。</w:t>
      </w:r>
      <w:r>
        <w:rPr>
          <w:rFonts w:hint="eastAsia" w:ascii="仿宋" w:hAnsi="仿宋" w:eastAsia="仿宋" w:cs="仿宋"/>
          <w:b w:val="0"/>
          <w:bCs w:val="0"/>
          <w:color w:val="000000"/>
          <w:sz w:val="32"/>
          <w:szCs w:val="32"/>
        </w:rPr>
        <w:t>一方面紧跟“党建带团建”的步伐，在两新党组织</w:t>
      </w:r>
      <w:r>
        <w:rPr>
          <w:rFonts w:hint="eastAsia" w:ascii="仿宋" w:hAnsi="仿宋" w:eastAsia="仿宋" w:cs="仿宋"/>
          <w:b w:val="0"/>
          <w:bCs w:val="0"/>
          <w:color w:val="000000"/>
          <w:sz w:val="32"/>
          <w:szCs w:val="32"/>
          <w:lang w:eastAsia="zh-CN"/>
        </w:rPr>
        <w:t>中</w:t>
      </w:r>
      <w:r>
        <w:rPr>
          <w:rFonts w:hint="eastAsia" w:ascii="仿宋" w:hAnsi="仿宋" w:eastAsia="仿宋" w:cs="仿宋"/>
          <w:b w:val="0"/>
          <w:bCs w:val="0"/>
          <w:color w:val="000000"/>
          <w:sz w:val="32"/>
          <w:szCs w:val="32"/>
        </w:rPr>
        <w:t>发展建立团组织；一方面利用新媒体，创新组织形式，探索建立外出务工青年、在外就学青年等网络团支部。</w:t>
      </w:r>
      <w:r>
        <w:rPr>
          <w:rFonts w:hint="eastAsia" w:ascii="仿宋" w:hAnsi="仿宋" w:eastAsia="仿宋" w:cs="仿宋"/>
          <w:b w:val="0"/>
          <w:bCs w:val="0"/>
          <w:color w:val="000000"/>
          <w:sz w:val="32"/>
          <w:szCs w:val="32"/>
          <w:lang w:val="en-US" w:eastAsia="zh-CN"/>
        </w:rPr>
        <w:t>三是</w:t>
      </w:r>
      <w:r>
        <w:rPr>
          <w:rFonts w:hint="eastAsia" w:ascii="仿宋" w:hAnsi="仿宋" w:eastAsia="仿宋" w:cs="仿宋"/>
          <w:b w:val="0"/>
          <w:bCs w:val="0"/>
          <w:color w:val="000000"/>
          <w:kern w:val="2"/>
          <w:sz w:val="32"/>
          <w:szCs w:val="32"/>
          <w:lang w:val="en-US" w:eastAsia="zh-CN" w:bidi="ar-SA"/>
        </w:rPr>
        <w:t>着重加强基层团干培训。</w:t>
      </w:r>
      <w:r>
        <w:rPr>
          <w:rFonts w:hint="eastAsia" w:ascii="仿宋" w:hAnsi="仿宋" w:eastAsia="仿宋" w:cs="仿宋"/>
          <w:b w:val="0"/>
          <w:bCs w:val="0"/>
          <w:i w:val="0"/>
          <w:caps w:val="0"/>
          <w:color w:val="000000"/>
          <w:spacing w:val="0"/>
          <w:kern w:val="0"/>
          <w:sz w:val="32"/>
          <w:szCs w:val="32"/>
          <w:shd w:val="clear" w:fill="FFFFFF"/>
          <w:lang w:val="zh-TW" w:eastAsia="zh-TW" w:bidi="ar"/>
        </w:rPr>
        <w:t>组织团区委委员、</w:t>
      </w:r>
      <w:r>
        <w:rPr>
          <w:rFonts w:hint="eastAsia" w:ascii="仿宋" w:hAnsi="仿宋" w:eastAsia="仿宋" w:cs="仿宋"/>
          <w:b w:val="0"/>
          <w:bCs w:val="0"/>
          <w:i w:val="0"/>
          <w:caps w:val="0"/>
          <w:color w:val="000000"/>
          <w:spacing w:val="0"/>
          <w:kern w:val="0"/>
          <w:sz w:val="32"/>
          <w:szCs w:val="32"/>
          <w:shd w:val="clear" w:fill="FFFFFF"/>
          <w:lang w:val="zh-CN" w:eastAsia="zh-CN" w:bidi="ar"/>
        </w:rPr>
        <w:t>基层</w:t>
      </w:r>
      <w:r>
        <w:rPr>
          <w:rFonts w:hint="eastAsia" w:ascii="仿宋" w:hAnsi="仿宋" w:eastAsia="仿宋" w:cs="仿宋"/>
          <w:b w:val="0"/>
          <w:bCs w:val="0"/>
          <w:i w:val="0"/>
          <w:caps w:val="0"/>
          <w:color w:val="000000"/>
          <w:spacing w:val="0"/>
          <w:kern w:val="0"/>
          <w:sz w:val="32"/>
          <w:szCs w:val="32"/>
          <w:shd w:val="clear" w:fill="FFFFFF"/>
          <w:lang w:val="zh-TW" w:eastAsia="zh-TW" w:bidi="ar"/>
        </w:rPr>
        <w:t>团组织负责人赴</w:t>
      </w:r>
      <w:r>
        <w:rPr>
          <w:rFonts w:hint="eastAsia" w:ascii="仿宋" w:hAnsi="仿宋" w:eastAsia="仿宋" w:cs="仿宋"/>
          <w:b w:val="0"/>
          <w:bCs w:val="0"/>
          <w:i w:val="0"/>
          <w:caps w:val="0"/>
          <w:color w:val="000000"/>
          <w:spacing w:val="0"/>
          <w:kern w:val="0"/>
          <w:sz w:val="32"/>
          <w:szCs w:val="32"/>
          <w:shd w:val="clear" w:fill="FFFFFF"/>
          <w:lang w:val="en-US" w:eastAsia="zh-CN" w:bidi="ar"/>
        </w:rPr>
        <w:t>省团委、市团委</w:t>
      </w:r>
      <w:r>
        <w:rPr>
          <w:rFonts w:hint="eastAsia" w:ascii="仿宋" w:hAnsi="仿宋" w:eastAsia="仿宋" w:cs="仿宋"/>
          <w:b w:val="0"/>
          <w:bCs w:val="0"/>
          <w:i w:val="0"/>
          <w:caps w:val="0"/>
          <w:color w:val="000000"/>
          <w:spacing w:val="0"/>
          <w:kern w:val="0"/>
          <w:sz w:val="32"/>
          <w:szCs w:val="32"/>
          <w:shd w:val="clear" w:fill="FFFFFF"/>
          <w:lang w:val="zh-TW" w:eastAsia="zh-TW" w:bidi="ar"/>
        </w:rPr>
        <w:t>学习</w:t>
      </w:r>
      <w:r>
        <w:rPr>
          <w:rFonts w:hint="eastAsia" w:ascii="仿宋" w:hAnsi="仿宋" w:eastAsia="仿宋" w:cs="仿宋"/>
          <w:b w:val="0"/>
          <w:bCs w:val="0"/>
          <w:i w:val="0"/>
          <w:caps w:val="0"/>
          <w:color w:val="000000"/>
          <w:spacing w:val="0"/>
          <w:kern w:val="0"/>
          <w:sz w:val="32"/>
          <w:szCs w:val="32"/>
          <w:shd w:val="clear" w:fill="FFFFFF"/>
          <w:lang w:val="en-US" w:eastAsia="zh-CN" w:bidi="ar"/>
        </w:rPr>
        <w:t>贯彻十九大重要精神及</w:t>
      </w:r>
      <w:r>
        <w:rPr>
          <w:rFonts w:hint="eastAsia" w:ascii="仿宋" w:hAnsi="仿宋" w:eastAsia="仿宋" w:cs="仿宋"/>
          <w:b w:val="0"/>
          <w:bCs w:val="0"/>
          <w:i w:val="0"/>
          <w:caps w:val="0"/>
          <w:color w:val="000000"/>
          <w:spacing w:val="0"/>
          <w:kern w:val="0"/>
          <w:sz w:val="32"/>
          <w:szCs w:val="32"/>
          <w:shd w:val="clear" w:fill="FFFFFF"/>
          <w:lang w:val="zh-TW" w:eastAsia="zh-TW" w:bidi="ar"/>
        </w:rPr>
        <w:t>团的基层组织</w:t>
      </w:r>
      <w:r>
        <w:rPr>
          <w:rFonts w:hint="eastAsia" w:ascii="仿宋" w:hAnsi="仿宋" w:eastAsia="仿宋" w:cs="仿宋"/>
          <w:b w:val="0"/>
          <w:bCs w:val="0"/>
          <w:i w:val="0"/>
          <w:caps w:val="0"/>
          <w:color w:val="000000"/>
          <w:spacing w:val="0"/>
          <w:kern w:val="0"/>
          <w:sz w:val="32"/>
          <w:szCs w:val="32"/>
          <w:shd w:val="clear" w:fill="FFFFFF"/>
          <w:lang w:val="en-US" w:eastAsia="zh-CN" w:bidi="ar"/>
        </w:rPr>
        <w:t>改革、少先队改革</w:t>
      </w:r>
      <w:r>
        <w:rPr>
          <w:rFonts w:hint="eastAsia" w:ascii="仿宋" w:hAnsi="仿宋" w:eastAsia="仿宋" w:cs="仿宋"/>
          <w:b w:val="0"/>
          <w:bCs w:val="0"/>
          <w:i w:val="0"/>
          <w:caps w:val="0"/>
          <w:color w:val="000000"/>
          <w:spacing w:val="0"/>
          <w:kern w:val="0"/>
          <w:sz w:val="32"/>
          <w:szCs w:val="32"/>
          <w:shd w:val="clear" w:fill="FFFFFF"/>
          <w:lang w:val="zh-TW" w:eastAsia="zh-TW" w:bidi="ar"/>
        </w:rPr>
        <w:t>等工作的先进经验与做法。</w:t>
      </w:r>
    </w:p>
    <w:p>
      <w:pPr>
        <w:pStyle w:val="4"/>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560" w:lineRule="exact"/>
        <w:ind w:left="640" w:leftChars="0" w:right="0" w:rightChars="0"/>
        <w:textAlignment w:val="auto"/>
        <w:outlineLvl w:val="9"/>
        <w:rPr>
          <w:rFonts w:hint="eastAsia" w:ascii="仿宋" w:hAnsi="仿宋" w:eastAsia="仿宋" w:cs="仿宋"/>
          <w:b/>
          <w:bCs/>
          <w:i w:val="0"/>
          <w:caps w:val="0"/>
          <w:color w:val="000000"/>
          <w:spacing w:val="0"/>
          <w:sz w:val="32"/>
          <w:szCs w:val="32"/>
          <w:shd w:val="clear" w:fill="FFFFFF"/>
          <w:lang w:val="en-US" w:eastAsia="zh-CN"/>
        </w:rPr>
      </w:pPr>
      <w:r>
        <w:rPr>
          <w:rFonts w:hint="eastAsia" w:ascii="仿宋" w:hAnsi="仿宋" w:eastAsia="仿宋" w:cs="仿宋"/>
          <w:b/>
          <w:bCs/>
          <w:i w:val="0"/>
          <w:caps w:val="0"/>
          <w:color w:val="000000"/>
          <w:spacing w:val="0"/>
          <w:sz w:val="32"/>
          <w:szCs w:val="32"/>
          <w:shd w:val="clear" w:fill="FFFFFF"/>
          <w:lang w:val="en-US" w:eastAsia="zh-CN"/>
        </w:rPr>
        <w:t>2、强化理论武装，加强青年思想引领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outlineLvl w:val="9"/>
        <w:rPr>
          <w:rFonts w:hint="eastAsia" w:ascii="仿宋" w:hAnsi="仿宋" w:eastAsia="仿宋" w:cs="仿宋"/>
          <w:b w:val="0"/>
          <w:bCs w:val="0"/>
          <w:i w:val="0"/>
          <w:caps w:val="0"/>
          <w:color w:val="212121"/>
          <w:spacing w:val="0"/>
          <w:sz w:val="32"/>
          <w:szCs w:val="32"/>
          <w:shd w:val="clear" w:fill="FFFFFF"/>
        </w:rPr>
      </w:pPr>
      <w:r>
        <w:rPr>
          <w:rFonts w:hint="eastAsia" w:ascii="仿宋" w:hAnsi="仿宋" w:eastAsia="仿宋" w:cs="仿宋"/>
          <w:b w:val="0"/>
          <w:bCs w:val="0"/>
          <w:color w:val="000000"/>
          <w:kern w:val="2"/>
          <w:sz w:val="32"/>
          <w:szCs w:val="32"/>
          <w:lang w:val="en-US" w:eastAsia="zh-CN" w:bidi="ar-SA"/>
        </w:rPr>
        <w:t>一是加强思想理论学习。</w:t>
      </w:r>
      <w:r>
        <w:rPr>
          <w:rFonts w:hint="eastAsia" w:ascii="仿宋" w:hAnsi="仿宋" w:eastAsia="仿宋" w:cs="仿宋"/>
          <w:b w:val="0"/>
          <w:bCs w:val="0"/>
          <w:i w:val="0"/>
          <w:caps w:val="0"/>
          <w:color w:val="000000"/>
          <w:spacing w:val="0"/>
          <w:kern w:val="0"/>
          <w:sz w:val="32"/>
          <w:szCs w:val="32"/>
          <w:shd w:val="clear" w:fill="FFFFFF"/>
          <w:lang w:val="en-US" w:eastAsia="zh-CN" w:bidi="ar"/>
        </w:rPr>
        <w:t>认真组织全区青年团员学习宣传贯彻落实党的十八大、十九大、十八届四中、五中、六中全会、团十七届三中全会精神，习近平总书记系列讲话精神，以及中央《关于加强和改进党的群团工作的意见》和中央、省委党的群团工作会议精神。</w:t>
      </w:r>
      <w:r>
        <w:rPr>
          <w:rFonts w:hint="eastAsia" w:ascii="仿宋" w:hAnsi="仿宋" w:eastAsia="仿宋" w:cs="仿宋"/>
          <w:b w:val="0"/>
          <w:bCs w:val="0"/>
          <w:color w:val="000000"/>
          <w:kern w:val="2"/>
          <w:sz w:val="32"/>
          <w:szCs w:val="32"/>
          <w:lang w:val="en-US" w:eastAsia="zh-CN" w:bidi="ar-SA"/>
        </w:rPr>
        <w:t>二是突出典型示范带动作用。</w:t>
      </w:r>
      <w:r>
        <w:rPr>
          <w:rFonts w:hint="eastAsia" w:ascii="仿宋" w:hAnsi="仿宋" w:eastAsia="仿宋" w:cs="仿宋"/>
          <w:b w:val="0"/>
          <w:bCs w:val="0"/>
          <w:i w:val="0"/>
          <w:caps w:val="0"/>
          <w:color w:val="000000"/>
          <w:spacing w:val="0"/>
          <w:kern w:val="0"/>
          <w:sz w:val="32"/>
          <w:szCs w:val="32"/>
          <w:shd w:val="clear" w:fill="FFFFFF"/>
          <w:lang w:val="en-US" w:eastAsia="zh-CN" w:bidi="ar"/>
        </w:rPr>
        <w:t>开展区级评优评先活动，评选出</w:t>
      </w:r>
      <w:r>
        <w:rPr>
          <w:rFonts w:hint="eastAsia" w:ascii="仿宋" w:hAnsi="仿宋" w:eastAsia="仿宋" w:cs="仿宋"/>
          <w:b w:val="0"/>
          <w:bCs w:val="0"/>
          <w:i w:val="0"/>
          <w:caps w:val="0"/>
          <w:color w:val="000000"/>
          <w:spacing w:val="0"/>
          <w:kern w:val="0"/>
          <w:sz w:val="32"/>
          <w:szCs w:val="32"/>
          <w:shd w:val="clear" w:fill="FFFFFF"/>
          <w:lang w:val="zh-TW" w:eastAsia="zh-CN" w:bidi="ar"/>
        </w:rPr>
        <w:t>最美共青团员、最美共青团干、五四红旗团委、五四红旗团支部、青年文明号、青年岗位能手等先进单位和个人</w:t>
      </w:r>
      <w:r>
        <w:rPr>
          <w:rFonts w:hint="eastAsia" w:ascii="仿宋" w:hAnsi="仿宋" w:eastAsia="仿宋" w:cs="仿宋"/>
          <w:b w:val="0"/>
          <w:bCs w:val="0"/>
          <w:i w:val="0"/>
          <w:caps w:val="0"/>
          <w:color w:val="000000"/>
          <w:spacing w:val="0"/>
          <w:kern w:val="0"/>
          <w:sz w:val="32"/>
          <w:szCs w:val="32"/>
          <w:shd w:val="clear" w:fill="FFFFFF"/>
          <w:lang w:val="zh-TW" w:eastAsia="zh-TW" w:bidi="ar"/>
        </w:rPr>
        <w:t>。</w:t>
      </w:r>
      <w:r>
        <w:rPr>
          <w:rFonts w:hint="eastAsia" w:ascii="仿宋" w:hAnsi="仿宋" w:eastAsia="仿宋" w:cs="仿宋"/>
          <w:b w:val="0"/>
          <w:bCs w:val="0"/>
          <w:color w:val="000000"/>
          <w:kern w:val="2"/>
          <w:sz w:val="32"/>
          <w:szCs w:val="32"/>
          <w:lang w:val="en-US" w:eastAsia="zh-CN" w:bidi="ar-SA"/>
        </w:rPr>
        <w:t>三是深化分类引导，开展好各类主题实践教育活动。</w:t>
      </w:r>
      <w:r>
        <w:rPr>
          <w:rFonts w:hint="eastAsia" w:ascii="仿宋" w:hAnsi="仿宋" w:eastAsia="仿宋" w:cs="仿宋"/>
          <w:b w:val="0"/>
          <w:bCs w:val="0"/>
          <w:i w:val="0"/>
          <w:caps w:val="0"/>
          <w:color w:val="000000"/>
          <w:spacing w:val="0"/>
          <w:kern w:val="0"/>
          <w:sz w:val="32"/>
          <w:szCs w:val="32"/>
          <w:shd w:val="clear" w:fill="FFFFFF"/>
          <w:lang w:val="zh-TW" w:eastAsia="zh-CN" w:bidi="ar"/>
        </w:rPr>
        <w:t>巩固新媒体阵地，</w:t>
      </w:r>
      <w:r>
        <w:rPr>
          <w:rFonts w:hint="eastAsia" w:ascii="仿宋" w:hAnsi="仿宋" w:eastAsia="仿宋" w:cs="仿宋"/>
          <w:b w:val="0"/>
          <w:bCs w:val="0"/>
          <w:i w:val="0"/>
          <w:caps w:val="0"/>
          <w:color w:val="000000"/>
          <w:spacing w:val="0"/>
          <w:kern w:val="0"/>
          <w:sz w:val="32"/>
          <w:szCs w:val="32"/>
          <w:shd w:val="clear" w:fill="FFFFFF"/>
          <w:lang w:val="zh-TW" w:eastAsia="zh-TW" w:bidi="ar"/>
        </w:rPr>
        <w:t>利用</w:t>
      </w:r>
      <w:r>
        <w:rPr>
          <w:rFonts w:hint="eastAsia" w:ascii="仿宋" w:hAnsi="仿宋" w:eastAsia="仿宋" w:cs="仿宋"/>
          <w:b w:val="0"/>
          <w:bCs w:val="0"/>
          <w:i w:val="0"/>
          <w:caps w:val="0"/>
          <w:color w:val="000000"/>
          <w:spacing w:val="0"/>
          <w:kern w:val="0"/>
          <w:sz w:val="32"/>
          <w:szCs w:val="32"/>
          <w:shd w:val="clear" w:fill="FFFFFF"/>
          <w:lang w:val="zh-TW" w:eastAsia="zh-CN" w:bidi="ar"/>
        </w:rPr>
        <w:t>“赫山共青团”</w:t>
      </w:r>
      <w:r>
        <w:rPr>
          <w:rFonts w:hint="eastAsia" w:ascii="仿宋" w:hAnsi="仿宋" w:eastAsia="仿宋" w:cs="仿宋"/>
          <w:b w:val="0"/>
          <w:bCs w:val="0"/>
          <w:i w:val="0"/>
          <w:caps w:val="0"/>
          <w:color w:val="000000"/>
          <w:spacing w:val="0"/>
          <w:kern w:val="0"/>
          <w:sz w:val="32"/>
          <w:szCs w:val="32"/>
          <w:shd w:val="clear" w:fill="FFFFFF"/>
          <w:lang w:val="zh-TW" w:eastAsia="zh-TW" w:bidi="ar"/>
        </w:rPr>
        <w:t>微信平台新媒体的优势，结合</w:t>
      </w:r>
      <w:r>
        <w:rPr>
          <w:rFonts w:hint="eastAsia" w:ascii="仿宋" w:hAnsi="仿宋" w:eastAsia="仿宋" w:cs="仿宋"/>
          <w:b w:val="0"/>
          <w:bCs w:val="0"/>
          <w:i w:val="0"/>
          <w:caps w:val="0"/>
          <w:color w:val="000000"/>
          <w:spacing w:val="0"/>
          <w:kern w:val="0"/>
          <w:sz w:val="32"/>
          <w:szCs w:val="32"/>
          <w:shd w:val="clear" w:fill="FFFFFF"/>
          <w:lang w:val="zh-TW" w:eastAsia="zh-CN" w:bidi="ar"/>
        </w:rPr>
        <w:t>党建、</w:t>
      </w:r>
      <w:r>
        <w:rPr>
          <w:rFonts w:hint="eastAsia" w:ascii="仿宋" w:hAnsi="仿宋" w:eastAsia="仿宋" w:cs="仿宋"/>
          <w:b w:val="0"/>
          <w:bCs w:val="0"/>
          <w:i w:val="0"/>
          <w:caps w:val="0"/>
          <w:color w:val="000000"/>
          <w:spacing w:val="0"/>
          <w:kern w:val="0"/>
          <w:sz w:val="32"/>
          <w:szCs w:val="32"/>
          <w:shd w:val="clear" w:fill="FFFFFF"/>
          <w:lang w:val="zh-TW" w:eastAsia="zh-TW" w:bidi="ar"/>
        </w:rPr>
        <w:t>综治、创文、禁毒等重点工作，开展全方位多批次宣传。</w:t>
      </w:r>
      <w:r>
        <w:rPr>
          <w:rFonts w:hint="eastAsia" w:ascii="仿宋" w:hAnsi="仿宋" w:eastAsia="仿宋" w:cs="仿宋"/>
          <w:b w:val="0"/>
          <w:bCs w:val="0"/>
          <w:i w:val="0"/>
          <w:caps w:val="0"/>
          <w:color w:val="000000"/>
          <w:spacing w:val="0"/>
          <w:kern w:val="0"/>
          <w:sz w:val="32"/>
          <w:szCs w:val="32"/>
          <w:shd w:val="clear" w:fill="FFFFFF"/>
          <w:lang w:val="en-US" w:eastAsia="zh-CN" w:bidi="ar"/>
        </w:rPr>
        <w:t>四是</w:t>
      </w:r>
      <w:r>
        <w:rPr>
          <w:rFonts w:hint="eastAsia" w:ascii="仿宋" w:hAnsi="仿宋" w:eastAsia="仿宋" w:cs="仿宋"/>
          <w:b w:val="0"/>
          <w:bCs w:val="0"/>
          <w:color w:val="000000"/>
          <w:kern w:val="2"/>
          <w:sz w:val="32"/>
          <w:szCs w:val="32"/>
          <w:lang w:val="en-US" w:eastAsia="zh-CN" w:bidi="ar-SA"/>
        </w:rPr>
        <w:t>创新开展“互联网+共青团”，加强舆论宣传引导。</w:t>
      </w:r>
      <w:r>
        <w:rPr>
          <w:rFonts w:hint="eastAsia" w:ascii="仿宋" w:hAnsi="仿宋" w:eastAsia="仿宋" w:cs="仿宋"/>
          <w:b w:val="0"/>
          <w:bCs w:val="0"/>
          <w:i w:val="0"/>
          <w:caps w:val="0"/>
          <w:color w:val="000000"/>
          <w:spacing w:val="0"/>
          <w:kern w:val="0"/>
          <w:sz w:val="32"/>
          <w:szCs w:val="32"/>
          <w:shd w:val="clear" w:fill="FFFFFF"/>
          <w:lang w:val="en-US" w:eastAsia="zh-CN" w:bidi="ar"/>
        </w:rPr>
        <w:t>探索依托网络强化思想引领、提升服务能力、活跃基础工作的方式，持续做好团属网站、微博、微信公众号、青年之声等新媒体阵地建设，不断创新内容、提升质量，推动网络平台建设，增强对青少年的吸引力，扩大有效覆盖面，提升赫山共青团的社会影响力。</w:t>
      </w:r>
    </w:p>
    <w:p>
      <w:pPr>
        <w:keepNext w:val="0"/>
        <w:keepLines w:val="0"/>
        <w:pageBreakBefore w:val="0"/>
        <w:numPr>
          <w:ilvl w:val="0"/>
          <w:numId w:val="0"/>
        </w:numPr>
        <w:shd w:val="clear" w:fill="FFFFFF" w:themeFill="background1"/>
        <w:tabs>
          <w:tab w:val="left" w:pos="5760"/>
        </w:tabs>
        <w:kinsoku/>
        <w:wordWrap/>
        <w:overflowPunct/>
        <w:topLinePunct w:val="0"/>
        <w:autoSpaceDE/>
        <w:autoSpaceDN/>
        <w:bidi w:val="0"/>
        <w:adjustRightInd/>
        <w:snapToGrid/>
        <w:spacing w:beforeAutospacing="0" w:afterAutospacing="0" w:line="560" w:lineRule="exact"/>
        <w:ind w:leftChars="200" w:right="0" w:rightChars="0"/>
        <w:textAlignment w:val="auto"/>
        <w:outlineLvl w:val="9"/>
        <w:rPr>
          <w:rFonts w:hint="eastAsia" w:ascii="仿宋" w:hAnsi="仿宋" w:eastAsia="仿宋" w:cs="仿宋"/>
          <w:b/>
          <w:bCs/>
          <w:i w:val="0"/>
          <w:caps w:val="0"/>
          <w:color w:val="000000"/>
          <w:spacing w:val="0"/>
          <w:kern w:val="0"/>
          <w:sz w:val="32"/>
          <w:szCs w:val="32"/>
          <w:shd w:val="clear" w:fill="FFFFFF"/>
          <w:lang w:val="en-US" w:eastAsia="zh-CN" w:bidi="ar-SA"/>
        </w:rPr>
      </w:pPr>
      <w:r>
        <w:rPr>
          <w:rFonts w:hint="eastAsia" w:ascii="仿宋" w:hAnsi="仿宋" w:eastAsia="仿宋" w:cs="仿宋"/>
          <w:b w:val="0"/>
          <w:bCs w:val="0"/>
          <w:sz w:val="32"/>
          <w:szCs w:val="32"/>
          <w:lang w:val="en-US" w:eastAsia="zh-CN"/>
        </w:rPr>
        <w:t xml:space="preserve"> </w:t>
      </w:r>
      <w:r>
        <w:rPr>
          <w:rFonts w:hint="eastAsia" w:ascii="仿宋" w:hAnsi="仿宋" w:eastAsia="仿宋" w:cs="仿宋"/>
          <w:b/>
          <w:bCs/>
          <w:i w:val="0"/>
          <w:caps w:val="0"/>
          <w:color w:val="000000"/>
          <w:spacing w:val="0"/>
          <w:kern w:val="0"/>
          <w:sz w:val="32"/>
          <w:szCs w:val="32"/>
          <w:shd w:val="clear" w:fill="FFFFFF"/>
          <w:lang w:val="en-US" w:eastAsia="zh-CN" w:bidi="ar-SA"/>
        </w:rPr>
        <w:t xml:space="preserve"> 3、注重服务青年，推动青少年成长成才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560" w:lineRule="exact"/>
        <w:ind w:left="0" w:right="0" w:rightChars="0" w:firstLine="420"/>
        <w:jc w:val="both"/>
        <w:textAlignment w:val="auto"/>
        <w:outlineLvl w:val="9"/>
        <w:rPr>
          <w:rFonts w:hint="eastAsia" w:ascii="仿宋" w:hAnsi="仿宋" w:eastAsia="仿宋" w:cs="仿宋"/>
          <w:b w:val="0"/>
          <w:bCs w:val="0"/>
          <w:i w:val="0"/>
          <w:caps w:val="0"/>
          <w:color w:val="000000"/>
          <w:spacing w:val="0"/>
          <w:kern w:val="0"/>
          <w:sz w:val="32"/>
          <w:szCs w:val="32"/>
          <w:shd w:val="clear" w:fill="FFFFFF"/>
          <w:lang w:val="en-US" w:eastAsia="zh-CN" w:bidi="ar"/>
        </w:rPr>
      </w:pPr>
      <w:r>
        <w:rPr>
          <w:rFonts w:hint="eastAsia" w:ascii="仿宋" w:hAnsi="仿宋" w:eastAsia="仿宋" w:cs="仿宋"/>
          <w:b w:val="0"/>
          <w:bCs w:val="0"/>
          <w:kern w:val="2"/>
          <w:sz w:val="32"/>
          <w:szCs w:val="32"/>
          <w:lang w:val="en-US" w:eastAsia="zh-CN" w:bidi="ar-SA"/>
        </w:rPr>
        <w:t xml:space="preserve"> 一是</w:t>
      </w:r>
      <w:r>
        <w:rPr>
          <w:rFonts w:hint="eastAsia" w:ascii="仿宋" w:hAnsi="仿宋" w:eastAsia="仿宋" w:cs="仿宋"/>
          <w:b w:val="0"/>
          <w:bCs w:val="0"/>
          <w:color w:val="000000"/>
          <w:kern w:val="2"/>
          <w:sz w:val="32"/>
          <w:szCs w:val="32"/>
          <w:lang w:val="en-US" w:eastAsia="zh-CN" w:bidi="ar-SA"/>
        </w:rPr>
        <w:t>大力推进青年创业服务工作。</w:t>
      </w:r>
      <w:r>
        <w:rPr>
          <w:rFonts w:hint="eastAsia" w:ascii="仿宋" w:hAnsi="仿宋" w:eastAsia="仿宋" w:cs="仿宋"/>
          <w:b w:val="0"/>
          <w:bCs w:val="0"/>
          <w:i w:val="0"/>
          <w:caps w:val="0"/>
          <w:color w:val="000000"/>
          <w:spacing w:val="0"/>
          <w:kern w:val="0"/>
          <w:sz w:val="32"/>
          <w:szCs w:val="32"/>
          <w:shd w:val="clear" w:fill="FFFFFF"/>
          <w:lang w:val="zh-TW" w:eastAsia="zh-TW" w:bidi="ar"/>
        </w:rPr>
        <w:t>一是摸清创业底数。对全区创业青年进行</w:t>
      </w:r>
      <w:r>
        <w:rPr>
          <w:rFonts w:hint="eastAsia" w:ascii="仿宋" w:hAnsi="仿宋" w:eastAsia="仿宋" w:cs="仿宋"/>
          <w:b w:val="0"/>
          <w:bCs w:val="0"/>
          <w:i w:val="0"/>
          <w:caps w:val="0"/>
          <w:color w:val="000000"/>
          <w:spacing w:val="0"/>
          <w:kern w:val="0"/>
          <w:sz w:val="32"/>
          <w:szCs w:val="32"/>
          <w:shd w:val="clear" w:fill="FFFFFF"/>
          <w:lang w:val="zh-TW" w:eastAsia="zh-CN" w:bidi="ar"/>
        </w:rPr>
        <w:t>了</w:t>
      </w:r>
      <w:r>
        <w:rPr>
          <w:rFonts w:hint="eastAsia" w:ascii="仿宋" w:hAnsi="仿宋" w:eastAsia="仿宋" w:cs="仿宋"/>
          <w:b w:val="0"/>
          <w:bCs w:val="0"/>
          <w:i w:val="0"/>
          <w:caps w:val="0"/>
          <w:color w:val="000000"/>
          <w:spacing w:val="0"/>
          <w:kern w:val="0"/>
          <w:sz w:val="32"/>
          <w:szCs w:val="32"/>
          <w:shd w:val="clear" w:fill="FFFFFF"/>
          <w:lang w:val="zh-TW" w:eastAsia="zh-TW" w:bidi="ar"/>
        </w:rPr>
        <w:t>深入摸底，建立全区青年创业人才数据库。</w:t>
      </w:r>
      <w:r>
        <w:rPr>
          <w:rFonts w:hint="eastAsia" w:ascii="仿宋" w:hAnsi="仿宋" w:eastAsia="仿宋" w:cs="仿宋"/>
          <w:b w:val="0"/>
          <w:bCs w:val="0"/>
          <w:color w:val="000000"/>
          <w:kern w:val="2"/>
          <w:sz w:val="32"/>
          <w:szCs w:val="32"/>
          <w:lang w:val="en-US" w:eastAsia="zh-CN" w:bidi="ar-SA"/>
        </w:rPr>
        <w:t>二是</w:t>
      </w:r>
      <w:r>
        <w:rPr>
          <w:rFonts w:hint="eastAsia" w:ascii="仿宋" w:hAnsi="仿宋" w:eastAsia="仿宋" w:cs="仿宋"/>
          <w:b w:val="0"/>
          <w:bCs w:val="0"/>
          <w:color w:val="000000"/>
          <w:kern w:val="2"/>
          <w:sz w:val="32"/>
          <w:szCs w:val="32"/>
          <w:lang w:val="zh-TW" w:eastAsia="zh-TW" w:bidi="ar-SA"/>
        </w:rPr>
        <w:t>全面提升“希望工程”品牌形象。</w:t>
      </w:r>
      <w:r>
        <w:rPr>
          <w:rFonts w:hint="eastAsia" w:ascii="仿宋" w:hAnsi="仿宋" w:eastAsia="仿宋" w:cs="仿宋"/>
          <w:b w:val="0"/>
          <w:bCs w:val="0"/>
          <w:i w:val="0"/>
          <w:caps w:val="0"/>
          <w:color w:val="000000"/>
          <w:spacing w:val="0"/>
          <w:kern w:val="0"/>
          <w:sz w:val="32"/>
          <w:szCs w:val="32"/>
          <w:shd w:val="clear" w:fill="FFFFFF"/>
          <w:lang w:val="en-US" w:eastAsia="zh-CN" w:bidi="ar"/>
        </w:rPr>
        <w:t>落实全区“抗洪救灾希望工程助学”、第十二届“芙蓉学子”大型公益助学、华融湘江银行·绿色助学行动、国酒茅台·国之栋梁—2017希望工程圆梦行动大型公益助学活动等四个助学项目贫困学生资金发放。</w:t>
      </w:r>
      <w:r>
        <w:rPr>
          <w:rFonts w:hint="eastAsia" w:ascii="仿宋" w:hAnsi="仿宋" w:eastAsia="仿宋" w:cs="仿宋"/>
          <w:b w:val="0"/>
          <w:bCs w:val="0"/>
          <w:i w:val="0"/>
          <w:caps w:val="0"/>
          <w:color w:val="000000"/>
          <w:spacing w:val="0"/>
          <w:kern w:val="0"/>
          <w:sz w:val="32"/>
          <w:szCs w:val="32"/>
          <w:shd w:val="clear" w:fill="FFFFFF"/>
          <w:lang w:val="zh-TW" w:eastAsia="zh-TW" w:bidi="ar"/>
        </w:rPr>
        <w:t>在全市率先成立</w:t>
      </w:r>
      <w:r>
        <w:rPr>
          <w:rFonts w:hint="eastAsia" w:ascii="仿宋" w:hAnsi="仿宋" w:eastAsia="仿宋" w:cs="仿宋"/>
          <w:b w:val="0"/>
          <w:bCs w:val="0"/>
          <w:i w:val="0"/>
          <w:caps w:val="0"/>
          <w:color w:val="000000"/>
          <w:spacing w:val="0"/>
          <w:kern w:val="0"/>
          <w:sz w:val="32"/>
          <w:szCs w:val="32"/>
          <w:shd w:val="clear" w:fill="FFFFFF"/>
          <w:lang w:val="zh-TW" w:eastAsia="zh-CN" w:bidi="ar"/>
        </w:rPr>
        <w:t>了</w:t>
      </w:r>
      <w:r>
        <w:rPr>
          <w:rFonts w:hint="eastAsia" w:ascii="仿宋" w:hAnsi="仿宋" w:eastAsia="仿宋" w:cs="仿宋"/>
          <w:b w:val="0"/>
          <w:bCs w:val="0"/>
          <w:i w:val="0"/>
          <w:caps w:val="0"/>
          <w:color w:val="000000"/>
          <w:spacing w:val="0"/>
          <w:kern w:val="0"/>
          <w:sz w:val="32"/>
          <w:szCs w:val="32"/>
          <w:shd w:val="clear" w:fill="FFFFFF"/>
          <w:lang w:val="zh-TW" w:eastAsia="zh-TW" w:bidi="ar"/>
        </w:rPr>
        <w:t>赫山区希望公益服务中心，使对外募资筹资管理合法化。</w:t>
      </w:r>
    </w:p>
    <w:p>
      <w:pPr>
        <w:keepNext w:val="0"/>
        <w:keepLines w:val="0"/>
        <w:pageBreakBefore w:val="0"/>
        <w:numPr>
          <w:ilvl w:val="0"/>
          <w:numId w:val="0"/>
        </w:numPr>
        <w:shd w:val="clear" w:fill="FFFFFF" w:themeFill="background1"/>
        <w:tabs>
          <w:tab w:val="left" w:pos="5760"/>
        </w:tabs>
        <w:kinsoku/>
        <w:wordWrap/>
        <w:overflowPunct/>
        <w:topLinePunct w:val="0"/>
        <w:autoSpaceDE/>
        <w:autoSpaceDN/>
        <w:bidi w:val="0"/>
        <w:adjustRightInd/>
        <w:snapToGrid/>
        <w:spacing w:beforeAutospacing="0" w:afterAutospacing="0" w:line="560" w:lineRule="exact"/>
        <w:ind w:leftChars="200" w:right="0" w:rightChars="0"/>
        <w:textAlignment w:val="auto"/>
        <w:outlineLvl w:val="9"/>
        <w:rPr>
          <w:rFonts w:hint="eastAsia" w:ascii="仿宋" w:hAnsi="仿宋" w:eastAsia="仿宋" w:cs="仿宋"/>
          <w:b/>
          <w:bCs/>
          <w:i w:val="0"/>
          <w:caps w:val="0"/>
          <w:color w:val="000000"/>
          <w:spacing w:val="0"/>
          <w:kern w:val="0"/>
          <w:sz w:val="32"/>
          <w:szCs w:val="32"/>
          <w:shd w:val="clear" w:fill="FFFFFF"/>
          <w:lang w:val="en-US" w:eastAsia="zh-CN" w:bidi="ar-SA"/>
        </w:rPr>
      </w:pPr>
      <w:r>
        <w:rPr>
          <w:rFonts w:hint="eastAsia" w:ascii="仿宋" w:hAnsi="仿宋" w:eastAsia="仿宋" w:cs="仿宋"/>
          <w:b/>
          <w:bCs/>
          <w:i w:val="0"/>
          <w:caps w:val="0"/>
          <w:color w:val="000000"/>
          <w:spacing w:val="0"/>
          <w:kern w:val="0"/>
          <w:sz w:val="32"/>
          <w:szCs w:val="32"/>
          <w:shd w:val="clear" w:fill="FFFFFF"/>
          <w:lang w:val="en-US" w:eastAsia="zh-CN" w:bidi="ar-SA"/>
        </w:rPr>
        <w:t>4、关注重点人群，维护青少年合法权益</w:t>
      </w:r>
    </w:p>
    <w:p>
      <w:pPr>
        <w:pStyle w:val="4"/>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0" w:beforeAutospacing="0" w:after="0" w:afterAutospacing="0" w:line="560" w:lineRule="exact"/>
        <w:ind w:right="0" w:rightChars="0"/>
        <w:textAlignment w:val="auto"/>
        <w:outlineLvl w:val="9"/>
        <w:rPr>
          <w:rFonts w:hint="eastAsia" w:ascii="仿宋" w:hAnsi="仿宋" w:eastAsia="仿宋" w:cs="仿宋"/>
          <w:b w:val="0"/>
          <w:bCs w:val="0"/>
          <w:i w:val="0"/>
          <w:caps w:val="0"/>
          <w:color w:val="000000"/>
          <w:spacing w:val="0"/>
          <w:sz w:val="32"/>
          <w:szCs w:val="32"/>
        </w:rPr>
      </w:pPr>
      <w:r>
        <w:rPr>
          <w:rFonts w:hint="eastAsia" w:ascii="仿宋" w:hAnsi="仿宋" w:eastAsia="仿宋" w:cs="仿宋"/>
          <w:b w:val="0"/>
          <w:bCs w:val="0"/>
          <w:color w:val="000000"/>
          <w:sz w:val="32"/>
          <w:szCs w:val="32"/>
          <w:lang w:val="en-US" w:eastAsia="zh-CN"/>
        </w:rPr>
        <w:t xml:space="preserve">    </w:t>
      </w:r>
      <w:r>
        <w:rPr>
          <w:rFonts w:hint="eastAsia" w:ascii="仿宋" w:hAnsi="仿宋" w:eastAsia="仿宋" w:cs="仿宋"/>
          <w:b w:val="0"/>
          <w:bCs w:val="0"/>
          <w:color w:val="000000"/>
          <w:kern w:val="2"/>
          <w:sz w:val="32"/>
          <w:szCs w:val="32"/>
          <w:lang w:val="en-US" w:eastAsia="zh-CN" w:bidi="ar-SA"/>
        </w:rPr>
        <w:t>一是</w:t>
      </w:r>
      <w:r>
        <w:rPr>
          <w:rFonts w:hint="eastAsia" w:ascii="仿宋" w:hAnsi="仿宋" w:eastAsia="仿宋" w:cs="仿宋"/>
          <w:b w:val="0"/>
          <w:bCs w:val="0"/>
          <w:color w:val="000000"/>
          <w:kern w:val="2"/>
          <w:sz w:val="32"/>
          <w:szCs w:val="32"/>
          <w:lang w:val="zh-TW" w:eastAsia="zh-TW" w:bidi="ar-SA"/>
        </w:rPr>
        <w:t>切实帮助特殊青少年群体排忧解难。开展了“伴你成长—共青团关爱农民工子女”志愿服务行动</w:t>
      </w:r>
      <w:r>
        <w:rPr>
          <w:rFonts w:hint="eastAsia" w:ascii="仿宋" w:hAnsi="仿宋" w:eastAsia="仿宋" w:cs="仿宋"/>
          <w:b w:val="0"/>
          <w:bCs w:val="0"/>
          <w:color w:val="000000"/>
          <w:kern w:val="2"/>
          <w:sz w:val="32"/>
          <w:szCs w:val="32"/>
          <w:lang w:val="zh-TW" w:eastAsia="zh-CN" w:bidi="ar-SA"/>
        </w:rPr>
        <w:t>；</w:t>
      </w:r>
      <w:r>
        <w:rPr>
          <w:rFonts w:hint="eastAsia" w:ascii="仿宋" w:hAnsi="仿宋" w:eastAsia="仿宋" w:cs="仿宋"/>
          <w:b w:val="0"/>
          <w:bCs w:val="0"/>
          <w:color w:val="000000"/>
          <w:kern w:val="2"/>
          <w:sz w:val="32"/>
          <w:szCs w:val="32"/>
          <w:lang w:val="zh-TW" w:eastAsia="zh-TW" w:bidi="ar-SA"/>
        </w:rPr>
        <w:t>针对贫困学子，</w:t>
      </w:r>
      <w:r>
        <w:rPr>
          <w:rFonts w:hint="eastAsia" w:ascii="仿宋" w:hAnsi="仿宋" w:eastAsia="仿宋" w:cs="仿宋"/>
          <w:b w:val="0"/>
          <w:bCs w:val="0"/>
          <w:color w:val="000000"/>
          <w:kern w:val="2"/>
          <w:sz w:val="32"/>
          <w:szCs w:val="32"/>
          <w:lang w:val="zh-CN" w:eastAsia="zh-CN" w:bidi="ar-SA"/>
        </w:rPr>
        <w:t>创新开展点亮“</w:t>
      </w:r>
      <w:r>
        <w:rPr>
          <w:rFonts w:hint="eastAsia" w:ascii="仿宋" w:hAnsi="仿宋" w:eastAsia="仿宋" w:cs="仿宋"/>
          <w:b w:val="0"/>
          <w:bCs w:val="0"/>
          <w:color w:val="000000"/>
          <w:kern w:val="2"/>
          <w:sz w:val="32"/>
          <w:szCs w:val="32"/>
          <w:lang w:val="zh-TW" w:eastAsia="zh-TW" w:bidi="ar-SA"/>
        </w:rPr>
        <w:t>微心愿</w:t>
      </w:r>
      <w:r>
        <w:rPr>
          <w:rFonts w:hint="eastAsia" w:ascii="仿宋" w:hAnsi="仿宋" w:eastAsia="仿宋" w:cs="仿宋"/>
          <w:b w:val="0"/>
          <w:bCs w:val="0"/>
          <w:color w:val="000000"/>
          <w:kern w:val="2"/>
          <w:sz w:val="32"/>
          <w:szCs w:val="32"/>
          <w:lang w:val="en-US" w:eastAsia="zh-CN" w:bidi="ar-SA"/>
        </w:rPr>
        <w:t>”</w:t>
      </w:r>
      <w:r>
        <w:rPr>
          <w:rFonts w:hint="eastAsia" w:ascii="仿宋" w:hAnsi="仿宋" w:eastAsia="仿宋" w:cs="仿宋"/>
          <w:b w:val="0"/>
          <w:bCs w:val="0"/>
          <w:color w:val="000000"/>
          <w:kern w:val="2"/>
          <w:sz w:val="32"/>
          <w:szCs w:val="32"/>
          <w:lang w:val="zh-TW" w:eastAsia="zh-TW" w:bidi="ar-SA"/>
        </w:rPr>
        <w:t>贫困青少年帮扶项目</w:t>
      </w:r>
      <w:r>
        <w:rPr>
          <w:rFonts w:hint="eastAsia" w:ascii="仿宋" w:hAnsi="仿宋" w:eastAsia="仿宋" w:cs="仿宋"/>
          <w:b w:val="0"/>
          <w:bCs w:val="0"/>
          <w:color w:val="000000"/>
          <w:kern w:val="2"/>
          <w:sz w:val="32"/>
          <w:szCs w:val="32"/>
          <w:lang w:val="zh-TW" w:eastAsia="zh-CN" w:bidi="ar-SA"/>
        </w:rPr>
        <w:t>；</w:t>
      </w:r>
      <w:r>
        <w:rPr>
          <w:rFonts w:hint="eastAsia" w:ascii="仿宋" w:hAnsi="仿宋" w:eastAsia="仿宋" w:cs="仿宋"/>
          <w:b w:val="0"/>
          <w:bCs w:val="0"/>
          <w:color w:val="000000"/>
          <w:kern w:val="2"/>
          <w:sz w:val="32"/>
          <w:szCs w:val="32"/>
          <w:lang w:val="zh-TW" w:eastAsia="zh-TW" w:bidi="ar-SA"/>
        </w:rPr>
        <w:t>针对青少年残疾人开展“天使之翼·康复我帮你”的志愿服务活动</w:t>
      </w:r>
      <w:r>
        <w:rPr>
          <w:rFonts w:hint="eastAsia" w:ascii="仿宋" w:hAnsi="仿宋" w:eastAsia="仿宋" w:cs="仿宋"/>
          <w:b w:val="0"/>
          <w:bCs w:val="0"/>
          <w:color w:val="000000"/>
          <w:kern w:val="2"/>
          <w:sz w:val="32"/>
          <w:szCs w:val="32"/>
          <w:lang w:val="zh-TW" w:eastAsia="zh-CN" w:bidi="ar-SA"/>
        </w:rPr>
        <w:t>；</w:t>
      </w:r>
      <w:r>
        <w:rPr>
          <w:rFonts w:hint="eastAsia" w:ascii="仿宋" w:hAnsi="仿宋" w:eastAsia="仿宋" w:cs="仿宋"/>
          <w:b w:val="0"/>
          <w:bCs w:val="0"/>
          <w:color w:val="000000"/>
          <w:kern w:val="2"/>
          <w:sz w:val="32"/>
          <w:szCs w:val="32"/>
          <w:lang w:val="zh-TW" w:eastAsia="zh-TW" w:bidi="ar-SA"/>
        </w:rPr>
        <w:t>组织医护专业的志愿者与梓园社区残疾人托养中心开展</w:t>
      </w:r>
      <w:r>
        <w:rPr>
          <w:rFonts w:hint="eastAsia" w:ascii="仿宋" w:hAnsi="仿宋" w:eastAsia="仿宋" w:cs="仿宋"/>
          <w:b w:val="0"/>
          <w:bCs w:val="0"/>
          <w:color w:val="000000"/>
          <w:kern w:val="2"/>
          <w:sz w:val="32"/>
          <w:szCs w:val="32"/>
          <w:lang w:val="zh-TW" w:eastAsia="zh-CN" w:bidi="ar-SA"/>
        </w:rPr>
        <w:t>“</w:t>
      </w:r>
      <w:r>
        <w:rPr>
          <w:rFonts w:hint="eastAsia" w:ascii="仿宋" w:hAnsi="仿宋" w:eastAsia="仿宋" w:cs="仿宋"/>
          <w:b w:val="0"/>
          <w:bCs w:val="0"/>
          <w:color w:val="000000"/>
          <w:kern w:val="2"/>
          <w:sz w:val="32"/>
          <w:szCs w:val="32"/>
          <w:lang w:val="zh-TW" w:eastAsia="zh-TW" w:bidi="ar-SA"/>
        </w:rPr>
        <w:t>共享阳光携手同行</w:t>
      </w:r>
      <w:r>
        <w:rPr>
          <w:rFonts w:hint="eastAsia" w:ascii="仿宋" w:hAnsi="仿宋" w:eastAsia="仿宋" w:cs="仿宋"/>
          <w:b w:val="0"/>
          <w:bCs w:val="0"/>
          <w:color w:val="000000"/>
          <w:kern w:val="2"/>
          <w:sz w:val="32"/>
          <w:szCs w:val="32"/>
          <w:lang w:val="zh-TW" w:eastAsia="zh-CN" w:bidi="ar-SA"/>
        </w:rPr>
        <w:t>”</w:t>
      </w:r>
      <w:r>
        <w:rPr>
          <w:rFonts w:hint="eastAsia" w:ascii="仿宋" w:hAnsi="仿宋" w:eastAsia="仿宋" w:cs="仿宋"/>
          <w:b w:val="0"/>
          <w:bCs w:val="0"/>
          <w:color w:val="000000"/>
          <w:kern w:val="2"/>
          <w:sz w:val="32"/>
          <w:szCs w:val="32"/>
          <w:lang w:val="zh-TW" w:eastAsia="zh-TW" w:bidi="ar-SA"/>
        </w:rPr>
        <w:t>结对帮扶。</w:t>
      </w:r>
      <w:r>
        <w:rPr>
          <w:rFonts w:hint="eastAsia" w:ascii="仿宋" w:hAnsi="仿宋" w:eastAsia="仿宋" w:cs="仿宋"/>
          <w:b w:val="0"/>
          <w:bCs w:val="0"/>
          <w:color w:val="000000"/>
          <w:kern w:val="2"/>
          <w:sz w:val="32"/>
          <w:szCs w:val="32"/>
          <w:lang w:val="en-US" w:eastAsia="zh-CN" w:bidi="ar-SA"/>
        </w:rPr>
        <w:t>同时</w:t>
      </w:r>
      <w:r>
        <w:rPr>
          <w:rFonts w:hint="eastAsia" w:ascii="仿宋" w:hAnsi="仿宋" w:eastAsia="仿宋" w:cs="仿宋"/>
          <w:b w:val="0"/>
          <w:bCs w:val="0"/>
          <w:color w:val="000000"/>
          <w:kern w:val="2"/>
          <w:sz w:val="32"/>
          <w:szCs w:val="32"/>
          <w:lang w:val="zh-TW" w:eastAsia="zh-TW" w:bidi="ar-SA"/>
        </w:rPr>
        <w:t>发起“星火”关爱留守儿童公益活动</w:t>
      </w:r>
      <w:r>
        <w:rPr>
          <w:rFonts w:hint="eastAsia" w:ascii="仿宋" w:hAnsi="仿宋" w:eastAsia="仿宋" w:cs="仿宋"/>
          <w:b w:val="0"/>
          <w:bCs w:val="0"/>
          <w:color w:val="000000"/>
          <w:kern w:val="2"/>
          <w:sz w:val="32"/>
          <w:szCs w:val="32"/>
          <w:lang w:val="zh-TW" w:eastAsia="zh-CN" w:bidi="ar-SA"/>
        </w:rPr>
        <w:t>，引导全</w:t>
      </w:r>
      <w:r>
        <w:rPr>
          <w:rFonts w:hint="eastAsia" w:ascii="仿宋" w:hAnsi="仿宋" w:eastAsia="仿宋" w:cs="仿宋"/>
          <w:b w:val="0"/>
          <w:bCs w:val="0"/>
          <w:color w:val="000000"/>
          <w:kern w:val="2"/>
          <w:sz w:val="32"/>
          <w:szCs w:val="32"/>
          <w:lang w:val="zh-TW" w:eastAsia="zh-TW" w:bidi="ar-SA"/>
        </w:rPr>
        <w:t>社会积极参与留守儿童的扶贫帮困，关爱留守儿童成长成才</w:t>
      </w:r>
      <w:r>
        <w:rPr>
          <w:rFonts w:hint="eastAsia" w:ascii="仿宋" w:hAnsi="仿宋" w:eastAsia="仿宋" w:cs="仿宋"/>
          <w:b w:val="0"/>
          <w:bCs w:val="0"/>
          <w:color w:val="000000"/>
          <w:kern w:val="2"/>
          <w:sz w:val="32"/>
          <w:szCs w:val="32"/>
          <w:lang w:val="zh-TW" w:eastAsia="zh-CN" w:bidi="ar-SA"/>
        </w:rPr>
        <w:t>。</w:t>
      </w:r>
      <w:r>
        <w:rPr>
          <w:rFonts w:hint="eastAsia" w:ascii="仿宋" w:hAnsi="仿宋" w:eastAsia="仿宋" w:cs="仿宋"/>
          <w:b w:val="0"/>
          <w:bCs w:val="0"/>
          <w:sz w:val="32"/>
          <w:szCs w:val="32"/>
          <w:lang w:val="en-US" w:eastAsia="zh-CN"/>
        </w:rPr>
        <w:t>二是加强预防青少年违法犯罪工作。</w:t>
      </w:r>
      <w:r>
        <w:rPr>
          <w:rFonts w:hint="eastAsia" w:ascii="仿宋" w:hAnsi="仿宋" w:eastAsia="仿宋" w:cs="仿宋"/>
          <w:b w:val="0"/>
          <w:bCs w:val="0"/>
          <w:color w:val="000000"/>
          <w:sz w:val="32"/>
          <w:szCs w:val="32"/>
          <w:lang w:val="zh-TW" w:eastAsia="zh-TW"/>
        </w:rPr>
        <w:t>组织开展了以《未成年人保护法》为重点的集中宣传活动，增强青少年的法制观念，提高法律意识</w:t>
      </w:r>
      <w:r>
        <w:rPr>
          <w:rFonts w:hint="eastAsia" w:ascii="仿宋" w:hAnsi="仿宋" w:eastAsia="仿宋" w:cs="仿宋"/>
          <w:b w:val="0"/>
          <w:bCs w:val="0"/>
          <w:color w:val="000000"/>
          <w:sz w:val="32"/>
          <w:szCs w:val="32"/>
          <w:lang w:val="zh-CN" w:eastAsia="zh-CN"/>
        </w:rPr>
        <w:t>。开展心理咨询微课堂，加强青少年心理健康教育，</w:t>
      </w:r>
      <w:r>
        <w:rPr>
          <w:rFonts w:hint="eastAsia" w:ascii="仿宋" w:hAnsi="仿宋" w:eastAsia="仿宋" w:cs="仿宋"/>
          <w:b w:val="0"/>
          <w:bCs w:val="0"/>
          <w:color w:val="000000"/>
          <w:sz w:val="32"/>
          <w:szCs w:val="32"/>
          <w:lang w:val="zh-TW" w:eastAsia="zh-TW"/>
        </w:rPr>
        <w:t>深化青少年安全自护教育和</w:t>
      </w:r>
      <w:r>
        <w:rPr>
          <w:rFonts w:hint="eastAsia" w:ascii="仿宋" w:hAnsi="仿宋" w:eastAsia="仿宋" w:cs="仿宋"/>
          <w:b w:val="0"/>
          <w:bCs w:val="0"/>
          <w:color w:val="000000"/>
          <w:sz w:val="32"/>
          <w:szCs w:val="32"/>
          <w:lang w:val="en-US"/>
        </w:rPr>
        <w:t>“</w:t>
      </w:r>
      <w:r>
        <w:rPr>
          <w:rFonts w:hint="eastAsia" w:ascii="仿宋" w:hAnsi="仿宋" w:eastAsia="仿宋" w:cs="仿宋"/>
          <w:b w:val="0"/>
          <w:bCs w:val="0"/>
          <w:color w:val="000000"/>
          <w:sz w:val="32"/>
          <w:szCs w:val="32"/>
          <w:lang w:val="zh-TW" w:eastAsia="zh-TW"/>
        </w:rPr>
        <w:t>青少年维权岗</w:t>
      </w:r>
      <w:r>
        <w:rPr>
          <w:rFonts w:hint="eastAsia" w:ascii="仿宋" w:hAnsi="仿宋" w:eastAsia="仿宋" w:cs="仿宋"/>
          <w:b w:val="0"/>
          <w:bCs w:val="0"/>
          <w:color w:val="000000"/>
          <w:sz w:val="32"/>
          <w:szCs w:val="32"/>
          <w:lang w:val="en-US"/>
        </w:rPr>
        <w:t>”</w:t>
      </w:r>
      <w:r>
        <w:rPr>
          <w:rFonts w:hint="eastAsia" w:ascii="仿宋" w:hAnsi="仿宋" w:eastAsia="仿宋" w:cs="仿宋"/>
          <w:b w:val="0"/>
          <w:bCs w:val="0"/>
          <w:color w:val="000000"/>
          <w:sz w:val="32"/>
          <w:szCs w:val="32"/>
          <w:lang w:val="zh-TW" w:eastAsia="zh-TW"/>
        </w:rPr>
        <w:t>创建活动。</w:t>
      </w:r>
      <w:r>
        <w:rPr>
          <w:rFonts w:hint="eastAsia" w:ascii="仿宋" w:hAnsi="仿宋" w:eastAsia="仿宋" w:cs="仿宋"/>
          <w:b w:val="0"/>
          <w:bCs w:val="0"/>
          <w:sz w:val="32"/>
          <w:szCs w:val="32"/>
          <w:lang w:val="en-US" w:eastAsia="zh-CN"/>
        </w:rPr>
        <w:t>三是</w:t>
      </w:r>
      <w:r>
        <w:rPr>
          <w:rFonts w:hint="eastAsia" w:ascii="仿宋" w:hAnsi="仿宋" w:eastAsia="仿宋" w:cs="仿宋"/>
          <w:b w:val="0"/>
          <w:bCs w:val="0"/>
          <w:sz w:val="32"/>
          <w:szCs w:val="32"/>
          <w:lang w:val="zh-TW" w:eastAsia="zh-TW"/>
        </w:rPr>
        <w:t>拓宽青少年诉求表达渠道。</w:t>
      </w:r>
      <w:r>
        <w:rPr>
          <w:rFonts w:hint="eastAsia" w:ascii="仿宋" w:hAnsi="仿宋" w:eastAsia="仿宋" w:cs="仿宋"/>
          <w:b w:val="0"/>
          <w:bCs w:val="0"/>
          <w:color w:val="000000"/>
          <w:sz w:val="32"/>
          <w:szCs w:val="32"/>
        </w:rPr>
        <w:t>深入开展“共青团与人大代表、政协委员面对面”活动，完善与人大、政协的合作机制</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拓宽青少年普遍性利益诉求的渠道和方式。</w:t>
      </w:r>
    </w:p>
    <w:p>
      <w:pPr>
        <w:keepNext w:val="0"/>
        <w:keepLines w:val="0"/>
        <w:pageBreakBefore w:val="0"/>
        <w:numPr>
          <w:ilvl w:val="0"/>
          <w:numId w:val="0"/>
        </w:numPr>
        <w:shd w:val="clear" w:fill="FFFFFF" w:themeFill="background1"/>
        <w:tabs>
          <w:tab w:val="left" w:pos="5760"/>
        </w:tabs>
        <w:kinsoku/>
        <w:wordWrap/>
        <w:overflowPunct/>
        <w:topLinePunct w:val="0"/>
        <w:autoSpaceDE/>
        <w:autoSpaceDN/>
        <w:bidi w:val="0"/>
        <w:adjustRightInd/>
        <w:snapToGrid/>
        <w:spacing w:beforeAutospacing="0" w:afterAutospacing="0" w:line="560" w:lineRule="exact"/>
        <w:ind w:leftChars="200" w:right="0" w:rightChars="0"/>
        <w:textAlignment w:val="auto"/>
        <w:outlineLvl w:val="9"/>
        <w:rPr>
          <w:rFonts w:hint="eastAsia" w:ascii="仿宋" w:hAnsi="仿宋" w:eastAsia="仿宋" w:cs="仿宋"/>
          <w:b/>
          <w:bCs/>
          <w:i w:val="0"/>
          <w:caps w:val="0"/>
          <w:color w:val="000000"/>
          <w:spacing w:val="0"/>
          <w:kern w:val="0"/>
          <w:sz w:val="32"/>
          <w:szCs w:val="32"/>
          <w:shd w:val="clear" w:fill="FFFFFF"/>
          <w:lang w:val="en-US" w:eastAsia="zh-CN" w:bidi="ar-SA"/>
        </w:rPr>
      </w:pPr>
      <w:r>
        <w:rPr>
          <w:rFonts w:hint="eastAsia" w:ascii="仿宋" w:hAnsi="仿宋" w:eastAsia="仿宋" w:cs="仿宋"/>
          <w:b/>
          <w:bCs/>
          <w:i w:val="0"/>
          <w:caps w:val="0"/>
          <w:color w:val="000000"/>
          <w:spacing w:val="0"/>
          <w:kern w:val="0"/>
          <w:sz w:val="32"/>
          <w:szCs w:val="32"/>
          <w:shd w:val="clear" w:fill="FFFFFF"/>
          <w:lang w:val="en-US" w:eastAsia="zh-CN" w:bidi="ar-SA"/>
        </w:rPr>
        <w:t>5、坚持围绕中心，服务社会发展大局</w:t>
      </w:r>
    </w:p>
    <w:p>
      <w:pPr>
        <w:keepNext w:val="0"/>
        <w:keepLines w:val="0"/>
        <w:pageBreakBefore w:val="0"/>
        <w:widowControl/>
        <w:numPr>
          <w:ilvl w:val="0"/>
          <w:numId w:val="0"/>
        </w:numPr>
        <w:suppressLineNumbers w:val="0"/>
        <w:shd w:val="clear" w:fill="FFFFFF" w:themeFill="background1"/>
        <w:kinsoku/>
        <w:wordWrap/>
        <w:overflowPunct/>
        <w:topLinePunct w:val="0"/>
        <w:autoSpaceDE/>
        <w:autoSpaceDN/>
        <w:bidi w:val="0"/>
        <w:adjustRightInd/>
        <w:snapToGrid/>
        <w:spacing w:beforeAutospacing="0" w:afterAutospacing="0" w:line="560" w:lineRule="exact"/>
        <w:ind w:right="0" w:rightChars="0"/>
        <w:jc w:val="left"/>
        <w:textAlignment w:val="auto"/>
        <w:outlineLvl w:val="9"/>
        <w:rPr>
          <w:rFonts w:hint="eastAsia" w:ascii="仿宋" w:hAnsi="仿宋" w:eastAsia="仿宋" w:cs="仿宋"/>
          <w:b w:val="0"/>
          <w:bCs w:val="0"/>
          <w:sz w:val="32"/>
          <w:szCs w:val="32"/>
        </w:rPr>
      </w:pPr>
      <w:r>
        <w:rPr>
          <w:rFonts w:hint="eastAsia" w:ascii="仿宋" w:hAnsi="仿宋" w:eastAsia="仿宋" w:cs="仿宋"/>
          <w:b w:val="0"/>
          <w:bCs w:val="0"/>
          <w:i w:val="0"/>
          <w:caps w:val="0"/>
          <w:color w:val="000000"/>
          <w:spacing w:val="0"/>
          <w:kern w:val="0"/>
          <w:sz w:val="32"/>
          <w:szCs w:val="32"/>
          <w:shd w:val="clear" w:fill="FFFFFF"/>
          <w:lang w:val="en-US" w:eastAsia="zh-CN" w:bidi="ar"/>
        </w:rPr>
        <w:t xml:space="preserve">    </w:t>
      </w:r>
      <w:r>
        <w:rPr>
          <w:rFonts w:hint="eastAsia" w:ascii="仿宋" w:hAnsi="仿宋" w:eastAsia="仿宋" w:cs="仿宋"/>
          <w:b w:val="0"/>
          <w:bCs w:val="0"/>
          <w:color w:val="000000"/>
          <w:sz w:val="32"/>
          <w:szCs w:val="32"/>
          <w:lang w:val="en-US" w:eastAsia="zh-CN"/>
        </w:rPr>
        <w:t>一是结合工作职能，全力开展精准扶贫工作。</w:t>
      </w:r>
      <w:r>
        <w:rPr>
          <w:rFonts w:hint="eastAsia" w:ascii="仿宋" w:hAnsi="仿宋" w:eastAsia="仿宋" w:cs="仿宋"/>
          <w:b w:val="0"/>
          <w:bCs w:val="0"/>
          <w:i w:val="0"/>
          <w:caps w:val="0"/>
          <w:color w:val="000000"/>
          <w:spacing w:val="0"/>
          <w:kern w:val="0"/>
          <w:sz w:val="32"/>
          <w:szCs w:val="32"/>
          <w:shd w:val="clear" w:fill="FFFFFF"/>
          <w:lang w:val="en-US" w:eastAsia="zh-CN" w:bidi="ar"/>
        </w:rPr>
        <w:t>我委选派驻村帮扶工作队员驻村帮扶，积极帮助协调对接有关部门单位，完善了村级道路硬化及山塘维修等重点项目设施建设。二是</w:t>
      </w:r>
      <w:r>
        <w:rPr>
          <w:rFonts w:hint="eastAsia" w:ascii="仿宋" w:hAnsi="仿宋" w:eastAsia="仿宋" w:cs="仿宋"/>
          <w:b w:val="0"/>
          <w:bCs w:val="0"/>
          <w:color w:val="000000"/>
          <w:sz w:val="32"/>
          <w:szCs w:val="32"/>
          <w:lang w:val="en-US" w:eastAsia="zh-CN"/>
        </w:rPr>
        <w:t>弘扬志愿精神，推进义工事业融入社会管理大局。</w:t>
      </w:r>
      <w:r>
        <w:rPr>
          <w:rFonts w:hint="eastAsia" w:ascii="仿宋" w:hAnsi="仿宋" w:eastAsia="仿宋" w:cs="仿宋"/>
          <w:b w:val="0"/>
          <w:bCs w:val="0"/>
          <w:color w:val="000000"/>
          <w:sz w:val="32"/>
          <w:szCs w:val="32"/>
          <w:lang w:val="zh-TW" w:eastAsia="zh-TW"/>
        </w:rPr>
        <w:t>我区注册志愿者人数达</w:t>
      </w:r>
      <w:r>
        <w:rPr>
          <w:rFonts w:hint="eastAsia" w:ascii="仿宋" w:hAnsi="仿宋" w:eastAsia="仿宋" w:cs="仿宋"/>
          <w:b w:val="0"/>
          <w:bCs w:val="0"/>
          <w:color w:val="000000"/>
          <w:sz w:val="32"/>
          <w:szCs w:val="32"/>
          <w:lang w:val="en-US" w:eastAsia="zh-CN"/>
        </w:rPr>
        <w:t>99788</w:t>
      </w:r>
      <w:r>
        <w:rPr>
          <w:rFonts w:hint="eastAsia" w:ascii="仿宋" w:hAnsi="仿宋" w:eastAsia="仿宋" w:cs="仿宋"/>
          <w:b w:val="0"/>
          <w:bCs w:val="0"/>
          <w:color w:val="000000"/>
          <w:sz w:val="32"/>
          <w:szCs w:val="32"/>
          <w:lang w:val="zh-TW" w:eastAsia="zh-TW"/>
        </w:rPr>
        <w:t>人</w:t>
      </w:r>
      <w:r>
        <w:rPr>
          <w:rFonts w:hint="eastAsia" w:ascii="仿宋" w:hAnsi="仿宋" w:eastAsia="仿宋" w:cs="仿宋"/>
          <w:b w:val="0"/>
          <w:bCs w:val="0"/>
          <w:color w:val="000000"/>
          <w:sz w:val="32"/>
          <w:szCs w:val="32"/>
          <w:lang w:val="zh-TW" w:eastAsia="zh-CN"/>
        </w:rPr>
        <w:t>，</w:t>
      </w:r>
      <w:r>
        <w:rPr>
          <w:rFonts w:hint="eastAsia" w:ascii="仿宋" w:hAnsi="仿宋" w:eastAsia="仿宋" w:cs="仿宋"/>
          <w:b w:val="0"/>
          <w:bCs w:val="0"/>
          <w:color w:val="000000"/>
          <w:sz w:val="32"/>
          <w:szCs w:val="32"/>
          <w:lang w:val="en-US" w:eastAsia="zh-CN"/>
        </w:rPr>
        <w:t>发展志愿服务队、志愿者协会138个</w:t>
      </w:r>
      <w:r>
        <w:rPr>
          <w:rFonts w:hint="eastAsia" w:ascii="仿宋" w:hAnsi="仿宋" w:eastAsia="仿宋" w:cs="仿宋"/>
          <w:b w:val="0"/>
          <w:bCs w:val="0"/>
          <w:color w:val="000000"/>
          <w:sz w:val="32"/>
          <w:szCs w:val="32"/>
          <w:lang w:val="zh-TW" w:eastAsia="zh-TW"/>
        </w:rPr>
        <w:t>。全年累计志愿者服务时长超过</w:t>
      </w:r>
      <w:r>
        <w:rPr>
          <w:rFonts w:hint="eastAsia" w:ascii="仿宋" w:hAnsi="仿宋" w:eastAsia="仿宋" w:cs="仿宋"/>
          <w:b w:val="0"/>
          <w:bCs w:val="0"/>
          <w:color w:val="000000"/>
          <w:sz w:val="32"/>
          <w:szCs w:val="32"/>
          <w:lang w:val="en-US" w:eastAsia="zh-CN"/>
        </w:rPr>
        <w:t>45</w:t>
      </w:r>
      <w:r>
        <w:rPr>
          <w:rFonts w:hint="eastAsia" w:ascii="仿宋" w:hAnsi="仿宋" w:eastAsia="仿宋" w:cs="仿宋"/>
          <w:b w:val="0"/>
          <w:bCs w:val="0"/>
          <w:color w:val="000000"/>
          <w:sz w:val="32"/>
          <w:szCs w:val="32"/>
          <w:lang w:val="zh-TW" w:eastAsia="zh-TW"/>
        </w:rPr>
        <w:t>万小时，服务群众约</w:t>
      </w:r>
      <w:r>
        <w:rPr>
          <w:rFonts w:hint="eastAsia" w:ascii="仿宋" w:hAnsi="仿宋" w:eastAsia="仿宋" w:cs="仿宋"/>
          <w:b w:val="0"/>
          <w:bCs w:val="0"/>
          <w:color w:val="000000"/>
          <w:sz w:val="32"/>
          <w:szCs w:val="32"/>
          <w:lang w:val="en-US" w:eastAsia="zh-CN"/>
        </w:rPr>
        <w:t>60</w:t>
      </w:r>
      <w:r>
        <w:rPr>
          <w:rFonts w:hint="eastAsia" w:ascii="仿宋" w:hAnsi="仿宋" w:eastAsia="仿宋" w:cs="仿宋"/>
          <w:b w:val="0"/>
          <w:bCs w:val="0"/>
          <w:color w:val="000000"/>
          <w:sz w:val="32"/>
          <w:szCs w:val="32"/>
          <w:lang w:val="zh-TW" w:eastAsia="zh-TW"/>
        </w:rPr>
        <w:t>万人次。</w:t>
      </w:r>
      <w:r>
        <w:rPr>
          <w:rFonts w:hint="eastAsia" w:ascii="仿宋" w:hAnsi="仿宋" w:eastAsia="仿宋" w:cs="仿宋"/>
          <w:b w:val="0"/>
          <w:bCs w:val="0"/>
          <w:color w:val="000000"/>
          <w:sz w:val="32"/>
          <w:szCs w:val="32"/>
          <w:lang w:val="en-US" w:eastAsia="zh-CN"/>
        </w:rPr>
        <w:t>团区委</w:t>
      </w:r>
      <w:r>
        <w:rPr>
          <w:rFonts w:hint="eastAsia" w:ascii="仿宋" w:hAnsi="仿宋" w:eastAsia="仿宋" w:cs="仿宋"/>
          <w:b w:val="0"/>
          <w:bCs w:val="0"/>
          <w:color w:val="000000"/>
          <w:sz w:val="32"/>
          <w:szCs w:val="32"/>
          <w:lang w:val="zh-CN" w:eastAsia="zh-CN"/>
        </w:rPr>
        <w:t>坚持开展“敬老爱老”，“</w:t>
      </w:r>
      <w:r>
        <w:rPr>
          <w:rFonts w:hint="eastAsia" w:ascii="仿宋" w:hAnsi="仿宋" w:eastAsia="仿宋" w:cs="仿宋"/>
          <w:b w:val="0"/>
          <w:bCs w:val="0"/>
          <w:color w:val="000000"/>
          <w:sz w:val="32"/>
          <w:szCs w:val="32"/>
          <w:lang w:val="zh-TW" w:eastAsia="zh-TW"/>
        </w:rPr>
        <w:t>爱心</w:t>
      </w:r>
      <w:r>
        <w:rPr>
          <w:rFonts w:hint="eastAsia" w:ascii="仿宋" w:hAnsi="仿宋" w:eastAsia="仿宋" w:cs="仿宋"/>
          <w:b w:val="0"/>
          <w:bCs w:val="0"/>
          <w:color w:val="000000"/>
          <w:sz w:val="32"/>
          <w:szCs w:val="32"/>
          <w:lang w:val="zh-CN" w:eastAsia="zh-CN"/>
        </w:rPr>
        <w:t>护考</w:t>
      </w:r>
      <w:r>
        <w:rPr>
          <w:rFonts w:hint="eastAsia" w:ascii="仿宋" w:hAnsi="仿宋" w:eastAsia="仿宋" w:cs="仿宋"/>
          <w:b w:val="0"/>
          <w:bCs w:val="0"/>
          <w:color w:val="000000"/>
          <w:sz w:val="32"/>
          <w:szCs w:val="32"/>
          <w:lang w:val="en-US" w:eastAsia="zh-CN"/>
        </w:rPr>
        <w:t>”</w:t>
      </w:r>
      <w:r>
        <w:rPr>
          <w:rFonts w:hint="eastAsia" w:ascii="仿宋" w:hAnsi="仿宋" w:eastAsia="仿宋" w:cs="仿宋"/>
          <w:b w:val="0"/>
          <w:bCs w:val="0"/>
          <w:color w:val="000000"/>
          <w:sz w:val="32"/>
          <w:szCs w:val="32"/>
          <w:lang w:val="zh-CN" w:eastAsia="zh-CN"/>
        </w:rPr>
        <w:t>，</w:t>
      </w:r>
      <w:r>
        <w:rPr>
          <w:rFonts w:hint="eastAsia" w:ascii="仿宋" w:hAnsi="仿宋" w:eastAsia="仿宋" w:cs="仿宋"/>
          <w:b w:val="0"/>
          <w:bCs w:val="0"/>
          <w:color w:val="000000"/>
          <w:sz w:val="32"/>
          <w:szCs w:val="32"/>
          <w:lang w:val="en-US" w:eastAsia="zh-CN"/>
        </w:rPr>
        <w:t>“</w:t>
      </w:r>
      <w:r>
        <w:rPr>
          <w:rFonts w:hint="eastAsia" w:ascii="仿宋" w:hAnsi="仿宋" w:eastAsia="仿宋" w:cs="仿宋"/>
          <w:b w:val="0"/>
          <w:bCs w:val="0"/>
          <w:color w:val="000000"/>
          <w:sz w:val="32"/>
          <w:szCs w:val="32"/>
          <w:lang w:val="zh-TW" w:eastAsia="zh-TW"/>
        </w:rPr>
        <w:t>暖冬行动</w:t>
      </w:r>
      <w:r>
        <w:rPr>
          <w:rFonts w:hint="eastAsia" w:ascii="仿宋" w:hAnsi="仿宋" w:eastAsia="仿宋" w:cs="仿宋"/>
          <w:b w:val="0"/>
          <w:bCs w:val="0"/>
          <w:color w:val="000000"/>
          <w:sz w:val="32"/>
          <w:szCs w:val="32"/>
          <w:lang w:val="en-US" w:eastAsia="zh-CN"/>
        </w:rPr>
        <w:t>”</w:t>
      </w:r>
      <w:r>
        <w:rPr>
          <w:rFonts w:hint="eastAsia" w:ascii="仿宋" w:hAnsi="仿宋" w:eastAsia="仿宋" w:cs="仿宋"/>
          <w:b w:val="0"/>
          <w:bCs w:val="0"/>
          <w:color w:val="000000"/>
          <w:sz w:val="32"/>
          <w:szCs w:val="32"/>
          <w:lang w:val="zh-CN" w:eastAsia="zh-CN"/>
        </w:rPr>
        <w:t>，</w:t>
      </w:r>
      <w:r>
        <w:rPr>
          <w:rFonts w:hint="eastAsia" w:ascii="仿宋" w:hAnsi="仿宋" w:eastAsia="仿宋" w:cs="仿宋"/>
          <w:b w:val="0"/>
          <w:bCs w:val="0"/>
          <w:color w:val="000000"/>
          <w:sz w:val="32"/>
          <w:szCs w:val="32"/>
          <w:lang w:val="en-US" w:eastAsia="zh-CN"/>
        </w:rPr>
        <w:t>“</w:t>
      </w:r>
      <w:r>
        <w:rPr>
          <w:rFonts w:hint="eastAsia" w:ascii="仿宋" w:hAnsi="仿宋" w:eastAsia="仿宋" w:cs="仿宋"/>
          <w:b w:val="0"/>
          <w:bCs w:val="0"/>
          <w:color w:val="000000"/>
          <w:sz w:val="32"/>
          <w:szCs w:val="32"/>
          <w:lang w:val="zh-TW" w:eastAsia="zh-TW"/>
        </w:rPr>
        <w:t>衣旧情深</w:t>
      </w:r>
      <w:r>
        <w:rPr>
          <w:rFonts w:hint="eastAsia" w:ascii="仿宋" w:hAnsi="仿宋" w:eastAsia="仿宋" w:cs="仿宋"/>
          <w:b w:val="0"/>
          <w:bCs w:val="0"/>
          <w:color w:val="000000"/>
          <w:sz w:val="32"/>
          <w:szCs w:val="32"/>
          <w:lang w:val="en-US" w:eastAsia="zh-CN"/>
        </w:rPr>
        <w:t>”</w:t>
      </w:r>
      <w:r>
        <w:rPr>
          <w:rFonts w:hint="eastAsia" w:ascii="仿宋" w:hAnsi="仿宋" w:eastAsia="仿宋" w:cs="仿宋"/>
          <w:b w:val="0"/>
          <w:bCs w:val="0"/>
          <w:color w:val="000000"/>
          <w:sz w:val="32"/>
          <w:szCs w:val="32"/>
          <w:lang w:val="zh-CN" w:eastAsia="zh-CN"/>
        </w:rPr>
        <w:t>等常态化品牌项目，实现志愿服务周周有动静，天天有交流。</w:t>
      </w:r>
      <w:r>
        <w:rPr>
          <w:rFonts w:hint="eastAsia" w:ascii="仿宋" w:hAnsi="仿宋" w:eastAsia="仿宋" w:cs="仿宋"/>
          <w:b w:val="0"/>
          <w:bCs w:val="0"/>
          <w:color w:val="000000"/>
          <w:sz w:val="32"/>
          <w:szCs w:val="32"/>
          <w:lang w:val="en-US" w:eastAsia="zh-CN"/>
        </w:rPr>
        <w:t>三是积极发动青年志愿者投身公益事业。</w:t>
      </w:r>
      <w:r>
        <w:rPr>
          <w:rFonts w:hint="eastAsia" w:ascii="仿宋" w:hAnsi="仿宋" w:eastAsia="仿宋" w:cs="仿宋"/>
          <w:b w:val="0"/>
          <w:bCs w:val="0"/>
          <w:sz w:val="32"/>
          <w:szCs w:val="32"/>
          <w:lang w:val="en-US" w:eastAsia="zh-CN"/>
        </w:rPr>
        <w:t>在全市率先启动区、乡（镇、街道、园区）、村（社区）三级护河志愿者工作站体系的建设工作，实现护河志愿者工作站与河长体系全配套，保障河长制志愿服务工作顺利开展，引导群众自发参与河长制，共建美丽新赫山。四是</w:t>
      </w:r>
      <w:r>
        <w:rPr>
          <w:rFonts w:hint="eastAsia" w:ascii="仿宋" w:hAnsi="仿宋" w:eastAsia="仿宋" w:cs="仿宋"/>
          <w:b w:val="0"/>
          <w:bCs w:val="0"/>
          <w:color w:val="000000"/>
          <w:kern w:val="0"/>
          <w:sz w:val="32"/>
          <w:szCs w:val="32"/>
          <w:shd w:val="clear" w:fill="FFFFFF" w:themeFill="background1"/>
          <w:lang w:val="en-US" w:eastAsia="zh-CN" w:bidi="ar"/>
        </w:rPr>
        <w:t>认真落实创文工作各项任务要求。</w:t>
      </w:r>
      <w:r>
        <w:rPr>
          <w:rFonts w:hint="eastAsia" w:ascii="仿宋" w:hAnsi="仿宋" w:eastAsia="仿宋" w:cs="仿宋"/>
          <w:b w:val="0"/>
          <w:bCs w:val="0"/>
          <w:sz w:val="32"/>
          <w:szCs w:val="32"/>
          <w:lang w:val="en-US" w:eastAsia="zh-CN"/>
        </w:rPr>
        <w:t>今年以来，我委积极配合区创文办开展相关工作，</w:t>
      </w:r>
      <w:r>
        <w:rPr>
          <w:rFonts w:hint="eastAsia" w:ascii="仿宋" w:hAnsi="仿宋" w:eastAsia="仿宋" w:cs="仿宋"/>
          <w:b w:val="0"/>
          <w:bCs w:val="0"/>
          <w:color w:val="000000"/>
          <w:sz w:val="32"/>
          <w:szCs w:val="32"/>
          <w:lang w:val="zh-TW" w:eastAsia="zh-TW"/>
        </w:rPr>
        <w:t>组织招募</w:t>
      </w:r>
      <w:r>
        <w:rPr>
          <w:rFonts w:hint="eastAsia" w:ascii="仿宋" w:hAnsi="仿宋" w:eastAsia="仿宋" w:cs="仿宋"/>
          <w:b w:val="0"/>
          <w:bCs w:val="0"/>
          <w:color w:val="000000"/>
          <w:sz w:val="32"/>
          <w:szCs w:val="32"/>
          <w:lang w:val="en-US" w:eastAsia="zh-CN"/>
        </w:rPr>
        <w:t>60</w:t>
      </w:r>
      <w:r>
        <w:rPr>
          <w:rFonts w:hint="eastAsia" w:ascii="仿宋" w:hAnsi="仿宋" w:eastAsia="仿宋" w:cs="仿宋"/>
          <w:b w:val="0"/>
          <w:bCs w:val="0"/>
          <w:color w:val="000000"/>
          <w:sz w:val="32"/>
          <w:szCs w:val="32"/>
          <w:lang w:val="zh-TW" w:eastAsia="zh-TW"/>
        </w:rPr>
        <w:t>个</w:t>
      </w:r>
      <w:r>
        <w:rPr>
          <w:rFonts w:hint="eastAsia" w:ascii="仿宋" w:hAnsi="仿宋" w:eastAsia="仿宋" w:cs="仿宋"/>
          <w:b w:val="0"/>
          <w:bCs w:val="0"/>
          <w:color w:val="000000"/>
          <w:sz w:val="32"/>
          <w:szCs w:val="32"/>
          <w:lang w:val="zh-CN" w:eastAsia="zh-CN"/>
        </w:rPr>
        <w:t>志愿者</w:t>
      </w:r>
      <w:r>
        <w:rPr>
          <w:rFonts w:hint="eastAsia" w:ascii="仿宋" w:hAnsi="仿宋" w:eastAsia="仿宋" w:cs="仿宋"/>
          <w:b w:val="0"/>
          <w:bCs w:val="0"/>
          <w:color w:val="000000"/>
          <w:sz w:val="32"/>
          <w:szCs w:val="32"/>
          <w:lang w:val="zh-TW" w:eastAsia="zh-TW"/>
        </w:rPr>
        <w:t>公益性岗位，</w:t>
      </w:r>
      <w:r>
        <w:rPr>
          <w:rFonts w:hint="eastAsia" w:ascii="仿宋" w:hAnsi="仿宋" w:eastAsia="仿宋" w:cs="仿宋"/>
          <w:b w:val="0"/>
          <w:bCs w:val="0"/>
          <w:color w:val="000000"/>
          <w:sz w:val="32"/>
          <w:szCs w:val="32"/>
          <w:lang w:val="zh-CN" w:eastAsia="zh-CN"/>
        </w:rPr>
        <w:t>全年坚持</w:t>
      </w:r>
      <w:r>
        <w:rPr>
          <w:rFonts w:hint="eastAsia" w:ascii="仿宋" w:hAnsi="仿宋" w:eastAsia="仿宋" w:cs="仿宋"/>
          <w:b w:val="0"/>
          <w:bCs w:val="0"/>
          <w:color w:val="000000"/>
          <w:sz w:val="32"/>
          <w:szCs w:val="32"/>
          <w:lang w:val="zh-TW" w:eastAsia="zh-TW"/>
        </w:rPr>
        <w:t>文明劝导服务</w:t>
      </w:r>
      <w:r>
        <w:rPr>
          <w:rFonts w:hint="eastAsia" w:ascii="仿宋" w:hAnsi="仿宋" w:eastAsia="仿宋" w:cs="仿宋"/>
          <w:b w:val="0"/>
          <w:bCs w:val="0"/>
          <w:color w:val="000000"/>
          <w:sz w:val="32"/>
          <w:szCs w:val="32"/>
          <w:lang w:val="zh-TW" w:eastAsia="zh-CN"/>
        </w:rPr>
        <w:t>。</w:t>
      </w:r>
      <w:r>
        <w:rPr>
          <w:rFonts w:hint="eastAsia" w:ascii="仿宋" w:hAnsi="仿宋" w:eastAsia="仿宋" w:cs="仿宋"/>
          <w:b w:val="0"/>
          <w:bCs w:val="0"/>
          <w:sz w:val="32"/>
          <w:szCs w:val="32"/>
          <w:lang w:val="en-US" w:eastAsia="zh-CN"/>
        </w:rPr>
        <w:t>通过加强指导志愿者服务工作，促进了志愿服务社区化、常态化发展，进一步提高了民众对志愿服务的知晓率、支持率、参与率，为我市创建全国文明城市做出了积极贡献。</w:t>
      </w:r>
    </w:p>
    <w:p>
      <w:pPr>
        <w:pStyle w:val="4"/>
        <w:keepNext w:val="0"/>
        <w:keepLines w:val="0"/>
        <w:pageBreakBefore w:val="0"/>
        <w:shd w:val="clear" w:color="auto" w:fill="FFFFFF"/>
        <w:kinsoku/>
        <w:wordWrap/>
        <w:overflowPunct/>
        <w:topLinePunct w:val="0"/>
        <w:autoSpaceDN/>
        <w:bidi w:val="0"/>
        <w:adjustRightInd/>
        <w:snapToGrid/>
        <w:spacing w:before="0" w:beforeAutospacing="0" w:after="0" w:afterAutospacing="0" w:line="560" w:lineRule="exact"/>
        <w:ind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（四）评价结论</w:t>
      </w:r>
    </w:p>
    <w:p>
      <w:pPr>
        <w:pStyle w:val="4"/>
        <w:keepNext w:val="0"/>
        <w:keepLines w:val="0"/>
        <w:pageBreakBefore w:val="0"/>
        <w:shd w:val="clear" w:color="auto" w:fill="FFFFFF"/>
        <w:kinsoku/>
        <w:wordWrap/>
        <w:overflowPunct/>
        <w:topLinePunct w:val="0"/>
        <w:autoSpaceDN/>
        <w:bidi w:val="0"/>
        <w:adjustRightInd/>
        <w:snapToGrid/>
        <w:spacing w:before="0" w:beforeAutospacing="0" w:after="0" w:afterAutospacing="0" w:line="560" w:lineRule="exact"/>
        <w:ind w:firstLine="640" w:firstLineChars="200"/>
        <w:jc w:val="both"/>
        <w:textAlignment w:val="auto"/>
        <w:outlineLvl w:val="9"/>
        <w:rPr>
          <w:rFonts w:hint="eastAsia" w:ascii="仿宋" w:hAnsi="仿宋" w:eastAsia="仿宋"/>
          <w:sz w:val="32"/>
          <w:szCs w:val="32"/>
        </w:rPr>
      </w:pPr>
      <w:r>
        <w:rPr>
          <w:rFonts w:hint="eastAsia" w:ascii="仿宋" w:hAnsi="仿宋" w:eastAsia="仿宋"/>
          <w:sz w:val="32"/>
          <w:szCs w:val="32"/>
        </w:rPr>
        <w:t>一是预算执行到位。严格执行《预算法》和各项财经纪律，机关管理制度健全，财务管理规范，预算编制合理;二是资金监管到位。经费开支按用途使用合理，做到专帐专管,专款专用。</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 w:hAnsi="仿宋" w:eastAsia="仿宋"/>
          <w:sz w:val="32"/>
          <w:szCs w:val="32"/>
        </w:rPr>
      </w:pPr>
      <w:r>
        <w:rPr>
          <w:rFonts w:hint="eastAsia" w:ascii="仿宋" w:hAnsi="仿宋" w:eastAsia="仿宋" w:cs="仿宋"/>
          <w:sz w:val="32"/>
          <w:szCs w:val="32"/>
          <w:lang w:eastAsia="zh-CN"/>
        </w:rPr>
        <w:t>根据《201</w:t>
      </w:r>
      <w:r>
        <w:rPr>
          <w:rFonts w:hint="eastAsia" w:ascii="仿宋" w:hAnsi="仿宋" w:eastAsia="仿宋" w:cs="仿宋"/>
          <w:sz w:val="32"/>
          <w:szCs w:val="32"/>
          <w:lang w:val="en-US" w:eastAsia="zh-CN"/>
        </w:rPr>
        <w:t>7</w:t>
      </w:r>
      <w:r>
        <w:rPr>
          <w:rFonts w:hint="eastAsia" w:ascii="仿宋" w:hAnsi="仿宋" w:eastAsia="仿宋" w:cs="仿宋"/>
          <w:sz w:val="32"/>
          <w:szCs w:val="32"/>
          <w:lang w:eastAsia="zh-CN"/>
        </w:rPr>
        <w:t>年部门整体支出绩效自评指标计分表》评分，得分9</w:t>
      </w: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分（详见附表3），财政支出绩效自评结果为优。</w:t>
      </w:r>
    </w:p>
    <w:p>
      <w:pPr>
        <w:keepNext w:val="0"/>
        <w:keepLines w:val="0"/>
        <w:pageBreakBefore w:val="0"/>
        <w:numPr>
          <w:ilvl w:val="0"/>
          <w:numId w:val="0"/>
        </w:numPr>
        <w:kinsoku/>
        <w:wordWrap/>
        <w:overflowPunct/>
        <w:topLinePunct w:val="0"/>
        <w:autoSpaceDN/>
        <w:bidi w:val="0"/>
        <w:adjustRightInd/>
        <w:snapToGrid/>
        <w:spacing w:line="560" w:lineRule="exact"/>
        <w:ind w:firstLine="640" w:firstLineChars="200"/>
        <w:textAlignment w:val="auto"/>
        <w:outlineLvl w:val="9"/>
        <w:rPr>
          <w:rFonts w:hint="eastAsia" w:ascii="黑体" w:hAnsi="黑体" w:eastAsia="黑体" w:cs="黑体"/>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四、存在的问题</w:t>
      </w:r>
    </w:p>
    <w:p>
      <w:pPr>
        <w:keepNext w:val="0"/>
        <w:keepLines w:val="0"/>
        <w:pageBreakBefore w:val="0"/>
        <w:kinsoku/>
        <w:wordWrap/>
        <w:overflowPunct/>
        <w:topLinePunct w:val="0"/>
        <w:autoSpaceDN/>
        <w:bidi w:val="0"/>
        <w:adjustRightInd/>
        <w:snapToGrid/>
        <w:spacing w:line="560" w:lineRule="exact"/>
        <w:ind w:firstLine="480" w:firstLineChars="150"/>
        <w:textAlignment w:val="auto"/>
        <w:outlineLvl w:val="9"/>
        <w:rPr>
          <w:rFonts w:hint="eastAsia" w:ascii="仿宋" w:hAnsi="仿宋" w:eastAsia="仿宋"/>
          <w:color w:val="000000"/>
          <w:kern w:val="0"/>
          <w:sz w:val="32"/>
          <w:szCs w:val="32"/>
        </w:rPr>
      </w:pPr>
      <w:r>
        <w:rPr>
          <w:rFonts w:hint="eastAsia" w:ascii="仿宋" w:hAnsi="仿宋" w:eastAsia="仿宋"/>
          <w:color w:val="000000"/>
          <w:kern w:val="0"/>
          <w:sz w:val="32"/>
          <w:szCs w:val="32"/>
        </w:rPr>
        <w:t>因部分工作是年中或年末根据省市相关要求开展，未纳入年初预算，另外还有部分不可预见经费的追加，无法纳入预算，导致预算执行存在偏差。</w:t>
      </w:r>
    </w:p>
    <w:p>
      <w:pPr>
        <w:keepNext w:val="0"/>
        <w:keepLines w:val="0"/>
        <w:pageBreakBefore w:val="0"/>
        <w:numPr>
          <w:ilvl w:val="0"/>
          <w:numId w:val="0"/>
        </w:numPr>
        <w:kinsoku/>
        <w:wordWrap/>
        <w:overflowPunct/>
        <w:topLinePunct w:val="0"/>
        <w:autoSpaceDN/>
        <w:bidi w:val="0"/>
        <w:adjustRightInd/>
        <w:snapToGrid/>
        <w:spacing w:line="560" w:lineRule="exact"/>
        <w:ind w:firstLine="640" w:firstLineChars="200"/>
        <w:textAlignment w:val="auto"/>
        <w:outlineLvl w:val="9"/>
        <w:rPr>
          <w:rFonts w:hint="eastAsia" w:ascii="黑体" w:hAnsi="黑体" w:eastAsia="黑体" w:cs="黑体"/>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五、有关建议</w:t>
      </w:r>
    </w:p>
    <w:p>
      <w:pPr>
        <w:pStyle w:val="4"/>
        <w:keepNext w:val="0"/>
        <w:keepLines w:val="0"/>
        <w:pageBreakBefore w:val="0"/>
        <w:widowControl/>
        <w:shd w:val="clear" w:color="auto" w:fill="FFFFFF"/>
        <w:kinsoku/>
        <w:wordWrap/>
        <w:overflowPunct/>
        <w:topLinePunct w:val="0"/>
        <w:autoSpaceDN/>
        <w:bidi w:val="0"/>
        <w:adjustRightInd/>
        <w:snapToGrid/>
        <w:spacing w:beforeAutospacing="0" w:afterAutospacing="0" w:line="560" w:lineRule="exact"/>
        <w:ind w:firstLine="643"/>
        <w:jc w:val="both"/>
        <w:textAlignment w:val="auto"/>
        <w:outlineLvl w:val="9"/>
        <w:rPr>
          <w:rFonts w:ascii="宋体" w:hAnsi="宋体" w:eastAsia="宋体" w:cs="宋体"/>
          <w:color w:val="444444"/>
        </w:rPr>
      </w:pPr>
      <w:r>
        <w:rPr>
          <w:rFonts w:ascii="仿宋_GB2312" w:hAnsi="宋体" w:eastAsia="仿宋_GB2312" w:cs="仿宋_GB2312"/>
          <w:color w:val="333333"/>
          <w:sz w:val="32"/>
          <w:szCs w:val="32"/>
          <w:shd w:val="clear" w:color="auto" w:fill="FFFFFF"/>
        </w:rPr>
        <w:t>1、加强财会人员业务学习和培训力度。</w:t>
      </w:r>
    </w:p>
    <w:p>
      <w:pPr>
        <w:pStyle w:val="4"/>
        <w:keepNext w:val="0"/>
        <w:keepLines w:val="0"/>
        <w:pageBreakBefore w:val="0"/>
        <w:widowControl/>
        <w:shd w:val="clear" w:color="auto" w:fill="FFFFFF"/>
        <w:kinsoku/>
        <w:wordWrap/>
        <w:overflowPunct/>
        <w:topLinePunct w:val="0"/>
        <w:autoSpaceDN/>
        <w:bidi w:val="0"/>
        <w:adjustRightInd/>
        <w:snapToGrid/>
        <w:spacing w:beforeAutospacing="0" w:afterAutospacing="0" w:line="560" w:lineRule="exact"/>
        <w:ind w:firstLine="643"/>
        <w:jc w:val="both"/>
        <w:textAlignment w:val="auto"/>
        <w:outlineLvl w:val="9"/>
        <w:rPr>
          <w:rFonts w:ascii="仿宋_GB2312" w:hAnsi="宋体" w:eastAsia="仿宋_GB2312" w:cs="仿宋_GB2312"/>
          <w:color w:val="333333"/>
          <w:sz w:val="32"/>
          <w:szCs w:val="32"/>
          <w:shd w:val="clear" w:color="auto" w:fill="FFFFFF"/>
        </w:rPr>
      </w:pPr>
      <w:r>
        <w:rPr>
          <w:rFonts w:hint="eastAsia" w:ascii="仿宋_GB2312" w:eastAsia="仿宋_GB2312" w:cs="仿宋_GB2312"/>
          <w:color w:val="333333"/>
          <w:sz w:val="32"/>
          <w:szCs w:val="32"/>
          <w:shd w:val="clear" w:color="auto" w:fill="FFFFFF"/>
          <w:lang w:val="en-US" w:eastAsia="zh-CN"/>
        </w:rPr>
        <w:t>2</w:t>
      </w:r>
      <w:r>
        <w:rPr>
          <w:rFonts w:ascii="仿宋_GB2312" w:hAnsi="宋体" w:eastAsia="仿宋_GB2312" w:cs="仿宋_GB2312"/>
          <w:color w:val="333333"/>
          <w:sz w:val="32"/>
          <w:szCs w:val="32"/>
          <w:shd w:val="clear" w:color="auto" w:fill="FFFFFF"/>
        </w:rPr>
        <w:t>、健全内控制度，充分发挥单位内部自我监督、自我控制的内部监督制约作用。</w:t>
      </w:r>
    </w:p>
    <w:p>
      <w:pPr>
        <w:pStyle w:val="4"/>
        <w:keepNext w:val="0"/>
        <w:keepLines w:val="0"/>
        <w:pageBreakBefore w:val="0"/>
        <w:widowControl/>
        <w:shd w:val="clear" w:color="auto" w:fill="FFFFFF"/>
        <w:kinsoku/>
        <w:wordWrap/>
        <w:overflowPunct/>
        <w:topLinePunct w:val="0"/>
        <w:autoSpaceDN/>
        <w:bidi w:val="0"/>
        <w:adjustRightInd/>
        <w:snapToGrid/>
        <w:spacing w:beforeAutospacing="0" w:afterAutospacing="0" w:line="560" w:lineRule="exact"/>
        <w:ind w:firstLine="643"/>
        <w:jc w:val="both"/>
        <w:textAlignment w:val="auto"/>
        <w:outlineLvl w:val="9"/>
        <w:rPr>
          <w:rFonts w:hint="eastAsia" w:ascii="仿宋_GB2312" w:hAnsi="宋体" w:eastAsia="仿宋_GB2312" w:cs="仿宋_GB2312"/>
          <w:color w:val="333333"/>
          <w:sz w:val="32"/>
          <w:szCs w:val="32"/>
          <w:shd w:val="clear" w:color="auto" w:fill="FFFFFF"/>
          <w:lang w:eastAsia="zh-CN"/>
        </w:rPr>
      </w:pPr>
      <w:r>
        <w:rPr>
          <w:rFonts w:hint="eastAsia" w:ascii="仿宋_GB2312" w:hAnsi="宋体" w:eastAsia="仿宋_GB2312" w:cs="仿宋_GB2312"/>
          <w:color w:val="333333"/>
          <w:sz w:val="32"/>
          <w:szCs w:val="32"/>
          <w:shd w:val="clear" w:color="auto" w:fill="FFFFFF"/>
          <w:lang w:val="en-US" w:eastAsia="zh-CN"/>
        </w:rPr>
        <w:t>3、</w:t>
      </w:r>
      <w:r>
        <w:rPr>
          <w:rFonts w:ascii="仿宋_GB2312" w:hAnsi="宋体" w:eastAsia="仿宋_GB2312" w:cs="仿宋_GB2312"/>
          <w:color w:val="333333"/>
          <w:sz w:val="32"/>
          <w:szCs w:val="32"/>
          <w:shd w:val="clear" w:color="auto" w:fill="FFFFFF"/>
        </w:rPr>
        <w:t>持续抓好“三公”经费控制管理。严格控制“三公”经费的</w:t>
      </w:r>
      <w:r>
        <w:rPr>
          <w:rFonts w:hint="eastAsia" w:ascii="仿宋_GB2312" w:eastAsia="仿宋_GB2312" w:cs="仿宋_GB2312"/>
          <w:color w:val="333333"/>
          <w:sz w:val="32"/>
          <w:szCs w:val="32"/>
          <w:shd w:val="clear" w:color="auto" w:fill="FFFFFF"/>
          <w:lang w:val="en-US" w:eastAsia="zh-CN"/>
        </w:rPr>
        <w:t>规划</w:t>
      </w:r>
      <w:r>
        <w:rPr>
          <w:rFonts w:ascii="仿宋_GB2312" w:hAnsi="宋体" w:eastAsia="仿宋_GB2312" w:cs="仿宋_GB2312"/>
          <w:color w:val="333333"/>
          <w:sz w:val="32"/>
          <w:szCs w:val="32"/>
          <w:shd w:val="clear" w:color="auto" w:fill="FFFFFF"/>
        </w:rPr>
        <w:t>和比例，把关“三公”经费支出的审核、审批</w:t>
      </w:r>
      <w:r>
        <w:rPr>
          <w:rFonts w:hint="default" w:ascii="仿宋_GB2312" w:hAnsi="宋体" w:eastAsia="仿宋_GB2312" w:cs="仿宋_GB2312"/>
          <w:color w:val="333333"/>
          <w:sz w:val="32"/>
          <w:szCs w:val="32"/>
          <w:shd w:val="clear" w:color="auto" w:fill="FFFFFF"/>
        </w:rPr>
        <w:t>，</w:t>
      </w:r>
      <w:r>
        <w:rPr>
          <w:rFonts w:ascii="仿宋_GB2312" w:hAnsi="宋体" w:eastAsia="仿宋_GB2312" w:cs="仿宋_GB2312"/>
          <w:color w:val="333333"/>
          <w:sz w:val="32"/>
          <w:szCs w:val="32"/>
          <w:shd w:val="clear" w:color="auto" w:fill="FFFFFF"/>
        </w:rPr>
        <w:t>杜绝挪用和挤占其他预算资金行为</w:t>
      </w:r>
      <w:r>
        <w:rPr>
          <w:rFonts w:hint="eastAsia" w:ascii="仿宋_GB2312" w:eastAsia="仿宋_GB2312" w:cs="仿宋_GB2312"/>
          <w:color w:val="333333"/>
          <w:sz w:val="32"/>
          <w:szCs w:val="32"/>
          <w:shd w:val="clear" w:color="auto" w:fill="FFFFFF"/>
          <w:lang w:eastAsia="zh-CN"/>
        </w:rPr>
        <w:t>，</w:t>
      </w:r>
      <w:bookmarkStart w:id="0" w:name="_GoBack"/>
      <w:bookmarkEnd w:id="0"/>
      <w:r>
        <w:rPr>
          <w:rFonts w:ascii="仿宋_GB2312" w:hAnsi="宋体" w:eastAsia="仿宋_GB2312" w:cs="仿宋_GB2312"/>
          <w:color w:val="333333"/>
          <w:sz w:val="32"/>
          <w:szCs w:val="32"/>
          <w:shd w:val="clear" w:color="auto" w:fill="FFFFFF"/>
        </w:rPr>
        <w:t>进一步细化“三公”经费的管理</w:t>
      </w:r>
      <w:r>
        <w:rPr>
          <w:rFonts w:hint="default" w:ascii="仿宋_GB2312" w:hAnsi="宋体" w:eastAsia="仿宋_GB2312" w:cs="仿宋_GB2312"/>
          <w:color w:val="333333"/>
          <w:sz w:val="32"/>
          <w:szCs w:val="32"/>
          <w:shd w:val="clear" w:color="auto" w:fill="FFFFFF"/>
        </w:rPr>
        <w:t>，</w:t>
      </w:r>
      <w:r>
        <w:rPr>
          <w:rFonts w:ascii="仿宋_GB2312" w:hAnsi="宋体" w:eastAsia="仿宋_GB2312" w:cs="仿宋_GB2312"/>
          <w:color w:val="333333"/>
          <w:sz w:val="32"/>
          <w:szCs w:val="32"/>
          <w:shd w:val="clear" w:color="auto" w:fill="FFFFFF"/>
        </w:rPr>
        <w:t>合理压缩“三公”经费支出</w:t>
      </w:r>
      <w:r>
        <w:rPr>
          <w:rFonts w:hint="eastAsia" w:ascii="仿宋_GB2312" w:eastAsia="仿宋_GB2312" w:cs="仿宋_GB2312"/>
          <w:color w:val="333333"/>
          <w:sz w:val="32"/>
          <w:szCs w:val="32"/>
          <w:shd w:val="clear" w:color="auto" w:fill="FFFFFF"/>
          <w:lang w:eastAsia="zh-CN"/>
        </w:rPr>
        <w:t>。</w:t>
      </w:r>
    </w:p>
    <w:p>
      <w:pPr>
        <w:pStyle w:val="4"/>
        <w:keepNext w:val="0"/>
        <w:keepLines w:val="0"/>
        <w:pageBreakBefore w:val="0"/>
        <w:shd w:val="clear" w:color="auto" w:fill="FFFFFF"/>
        <w:kinsoku/>
        <w:wordWrap/>
        <w:overflowPunct/>
        <w:topLinePunct w:val="0"/>
        <w:autoSpaceDN/>
        <w:bidi w:val="0"/>
        <w:adjustRightInd/>
        <w:snapToGrid/>
        <w:spacing w:before="0" w:beforeAutospacing="0" w:after="0" w:afterAutospacing="0" w:line="560" w:lineRule="exact"/>
        <w:jc w:val="both"/>
        <w:textAlignment w:val="auto"/>
        <w:outlineLvl w:val="9"/>
        <w:rPr>
          <w:rFonts w:hint="eastAsia" w:ascii="仿宋" w:hAnsi="仿宋" w:eastAsia="仿宋"/>
          <w:sz w:val="32"/>
          <w:szCs w:val="32"/>
        </w:rPr>
      </w:pPr>
    </w:p>
    <w:p>
      <w:pPr>
        <w:pStyle w:val="4"/>
        <w:keepNext w:val="0"/>
        <w:keepLines w:val="0"/>
        <w:pageBreakBefore w:val="0"/>
        <w:shd w:val="clear" w:color="auto" w:fill="FFFFFF"/>
        <w:kinsoku/>
        <w:wordWrap/>
        <w:overflowPunct/>
        <w:topLinePunct w:val="0"/>
        <w:autoSpaceDN/>
        <w:bidi w:val="0"/>
        <w:adjustRightInd/>
        <w:snapToGrid/>
        <w:spacing w:before="0" w:beforeAutospacing="0" w:after="0" w:afterAutospacing="0" w:line="560" w:lineRule="exact"/>
        <w:jc w:val="both"/>
        <w:textAlignment w:val="auto"/>
        <w:outlineLvl w:val="9"/>
        <w:rPr>
          <w:rFonts w:hint="eastAsia" w:ascii="仿宋" w:hAnsi="仿宋" w:eastAsia="仿宋"/>
          <w:sz w:val="32"/>
          <w:szCs w:val="32"/>
        </w:rPr>
      </w:pPr>
    </w:p>
    <w:p>
      <w:pPr>
        <w:pStyle w:val="4"/>
        <w:keepNext w:val="0"/>
        <w:keepLines w:val="0"/>
        <w:pageBreakBefore w:val="0"/>
        <w:shd w:val="clear" w:color="auto" w:fill="FFFFFF"/>
        <w:kinsoku/>
        <w:wordWrap/>
        <w:overflowPunct/>
        <w:topLinePunct w:val="0"/>
        <w:autoSpaceDN/>
        <w:bidi w:val="0"/>
        <w:adjustRightInd/>
        <w:snapToGrid/>
        <w:spacing w:before="0" w:beforeAutospacing="0" w:after="0" w:afterAutospacing="0" w:line="560" w:lineRule="exact"/>
        <w:ind w:firstLine="800" w:firstLineChars="250"/>
        <w:jc w:val="both"/>
        <w:textAlignment w:val="auto"/>
        <w:outlineLvl w:val="9"/>
        <w:rPr>
          <w:rFonts w:hint="eastAsia" w:ascii="仿宋" w:hAnsi="仿宋" w:eastAsia="仿宋"/>
          <w:sz w:val="32"/>
          <w:szCs w:val="32"/>
          <w:lang w:val="en-US" w:eastAsia="zh-CN"/>
        </w:rPr>
      </w:pPr>
      <w:r>
        <w:rPr>
          <w:rFonts w:hint="eastAsia" w:ascii="仿宋" w:hAnsi="仿宋" w:eastAsia="仿宋"/>
          <w:sz w:val="32"/>
          <w:szCs w:val="32"/>
        </w:rPr>
        <w:t xml:space="preserve">                  </w:t>
      </w:r>
      <w:r>
        <w:rPr>
          <w:rFonts w:hint="eastAsia" w:ascii="仿宋" w:hAnsi="仿宋" w:eastAsia="仿宋"/>
          <w:sz w:val="32"/>
          <w:szCs w:val="32"/>
          <w:lang w:val="en-US" w:eastAsia="zh-CN"/>
        </w:rPr>
        <w:t>共青团益阳市赫山区委员会</w:t>
      </w:r>
    </w:p>
    <w:p>
      <w:pPr>
        <w:pStyle w:val="4"/>
        <w:keepNext w:val="0"/>
        <w:keepLines w:val="0"/>
        <w:pageBreakBefore w:val="0"/>
        <w:shd w:val="clear" w:color="auto" w:fill="FFFFFF"/>
        <w:kinsoku/>
        <w:wordWrap/>
        <w:overflowPunct/>
        <w:topLinePunct w:val="0"/>
        <w:autoSpaceDN/>
        <w:bidi w:val="0"/>
        <w:adjustRightInd/>
        <w:snapToGrid/>
        <w:spacing w:before="0" w:beforeAutospacing="0" w:after="0" w:afterAutospacing="0" w:line="560" w:lineRule="exact"/>
        <w:ind w:firstLine="800" w:firstLineChars="250"/>
        <w:jc w:val="both"/>
        <w:textAlignment w:val="auto"/>
        <w:outlineLvl w:val="9"/>
        <w:rPr>
          <w:rFonts w:hint="eastAsia" w:ascii="仿宋" w:hAnsi="仿宋" w:eastAsia="仿宋"/>
          <w:sz w:val="32"/>
          <w:szCs w:val="32"/>
        </w:rPr>
      </w:pPr>
      <w:r>
        <w:rPr>
          <w:rFonts w:hint="eastAsia" w:ascii="仿宋" w:hAnsi="仿宋" w:eastAsia="仿宋"/>
          <w:sz w:val="32"/>
          <w:szCs w:val="32"/>
        </w:rPr>
        <w:t xml:space="preserve">                      2018年6月</w:t>
      </w:r>
      <w:r>
        <w:rPr>
          <w:rFonts w:hint="eastAsia" w:ascii="仿宋" w:hAnsi="仿宋" w:eastAsia="仿宋"/>
          <w:sz w:val="32"/>
          <w:szCs w:val="32"/>
          <w:lang w:val="en-US" w:eastAsia="zh-CN"/>
        </w:rPr>
        <w:t>26</w:t>
      </w:r>
      <w:r>
        <w:rPr>
          <w:rFonts w:hint="eastAsia" w:ascii="仿宋" w:hAnsi="仿宋" w:eastAsia="仿宋"/>
          <w:sz w:val="32"/>
          <w:szCs w:val="32"/>
        </w:rPr>
        <w:t>日</w:t>
      </w:r>
    </w:p>
    <w:p>
      <w:pPr>
        <w:pStyle w:val="4"/>
        <w:keepNext w:val="0"/>
        <w:keepLines w:val="0"/>
        <w:pageBreakBefore w:val="0"/>
        <w:shd w:val="clear" w:color="auto" w:fill="FFFFFF"/>
        <w:kinsoku/>
        <w:wordWrap/>
        <w:overflowPunct/>
        <w:topLinePunct w:val="0"/>
        <w:autoSpaceDN/>
        <w:bidi w:val="0"/>
        <w:adjustRightInd/>
        <w:snapToGrid/>
        <w:spacing w:before="0" w:beforeAutospacing="0" w:after="0" w:afterAutospacing="0" w:line="560" w:lineRule="exact"/>
        <w:ind w:firstLine="800" w:firstLineChars="250"/>
        <w:jc w:val="both"/>
        <w:textAlignment w:val="auto"/>
        <w:outlineLvl w:val="9"/>
        <w:rPr>
          <w:rFonts w:hint="eastAsia" w:ascii="仿宋" w:hAnsi="仿宋" w:eastAsia="仿宋" w:cs="Times New Roman"/>
          <w:color w:val="000000"/>
          <w:kern w:val="2"/>
          <w:sz w:val="32"/>
          <w:szCs w:val="32"/>
        </w:rPr>
      </w:pPr>
    </w:p>
    <w:p>
      <w:pPr>
        <w:pStyle w:val="4"/>
        <w:keepNext w:val="0"/>
        <w:keepLines w:val="0"/>
        <w:pageBreakBefore w:val="0"/>
        <w:shd w:val="clear" w:color="auto" w:fill="FFFFFF"/>
        <w:kinsoku/>
        <w:wordWrap/>
        <w:overflowPunct/>
        <w:topLinePunct w:val="0"/>
        <w:autoSpaceDN/>
        <w:bidi w:val="0"/>
        <w:adjustRightInd/>
        <w:snapToGrid/>
        <w:spacing w:before="0" w:beforeAutospacing="0" w:after="0" w:afterAutospacing="0" w:line="560" w:lineRule="exact"/>
        <w:jc w:val="both"/>
        <w:textAlignment w:val="auto"/>
        <w:outlineLvl w:val="9"/>
        <w:rPr>
          <w:rFonts w:hint="eastAsia" w:ascii="仿宋" w:hAnsi="仿宋" w:eastAsia="仿宋" w:cs="Times New Roman"/>
          <w:color w:val="000000"/>
          <w:kern w:val="2"/>
          <w:sz w:val="32"/>
          <w:szCs w:val="32"/>
        </w:rPr>
      </w:pPr>
    </w:p>
    <w:p>
      <w:pPr>
        <w:pStyle w:val="4"/>
        <w:keepNext w:val="0"/>
        <w:keepLines w:val="0"/>
        <w:pageBreakBefore w:val="0"/>
        <w:shd w:val="clear" w:color="auto" w:fill="FFFFFF"/>
        <w:kinsoku/>
        <w:wordWrap/>
        <w:overflowPunct/>
        <w:topLinePunct w:val="0"/>
        <w:autoSpaceDN/>
        <w:bidi w:val="0"/>
        <w:adjustRightInd/>
        <w:snapToGrid/>
        <w:spacing w:before="0" w:beforeAutospacing="0" w:after="0" w:afterAutospacing="0" w:line="560" w:lineRule="exact"/>
        <w:jc w:val="both"/>
        <w:textAlignment w:val="auto"/>
        <w:outlineLvl w:val="9"/>
        <w:rPr>
          <w:rFonts w:hint="eastAsia" w:ascii="仿宋" w:hAnsi="仿宋" w:eastAsia="仿宋" w:cs="Times New Roman"/>
          <w:color w:val="000000"/>
          <w:kern w:val="2"/>
          <w:sz w:val="32"/>
          <w:szCs w:val="32"/>
        </w:rPr>
      </w:pPr>
    </w:p>
    <w:p>
      <w:pPr>
        <w:pStyle w:val="4"/>
        <w:keepNext w:val="0"/>
        <w:keepLines w:val="0"/>
        <w:pageBreakBefore w:val="0"/>
        <w:shd w:val="clear" w:color="auto" w:fill="FFFFFF"/>
        <w:kinsoku/>
        <w:wordWrap/>
        <w:overflowPunct/>
        <w:topLinePunct w:val="0"/>
        <w:autoSpaceDN/>
        <w:bidi w:val="0"/>
        <w:adjustRightInd/>
        <w:snapToGrid/>
        <w:spacing w:before="0" w:beforeAutospacing="0" w:after="0" w:afterAutospacing="0" w:line="560" w:lineRule="exact"/>
        <w:jc w:val="both"/>
        <w:textAlignment w:val="auto"/>
        <w:outlineLvl w:val="9"/>
        <w:rPr>
          <w:rFonts w:hint="eastAsia" w:ascii="仿宋" w:hAnsi="仿宋" w:eastAsia="仿宋" w:cs="Times New Roman"/>
          <w:color w:val="000000"/>
          <w:kern w:val="2"/>
          <w:sz w:val="32"/>
          <w:szCs w:val="32"/>
        </w:rPr>
      </w:pPr>
    </w:p>
    <w:p>
      <w:pPr>
        <w:spacing w:line="480" w:lineRule="exact"/>
        <w:rPr>
          <w:rFonts w:ascii="黑体" w:hAnsi="黑体" w:eastAsia="黑体"/>
          <w:sz w:val="32"/>
          <w:szCs w:val="32"/>
        </w:rPr>
      </w:pPr>
      <w:r>
        <w:rPr>
          <w:rFonts w:hint="eastAsia" w:ascii="黑体" w:hAnsi="黑体" w:eastAsia="黑体"/>
          <w:sz w:val="32"/>
          <w:szCs w:val="32"/>
        </w:rPr>
        <w:t>附件3：</w:t>
      </w:r>
    </w:p>
    <w:p>
      <w:pPr>
        <w:spacing w:line="480" w:lineRule="exact"/>
        <w:jc w:val="center"/>
        <w:rPr>
          <w:rFonts w:ascii="方正小标宋简体" w:eastAsia="方正小标宋简体"/>
          <w:bCs/>
          <w:w w:val="90"/>
          <w:sz w:val="44"/>
          <w:szCs w:val="44"/>
        </w:rPr>
      </w:pPr>
      <w:r>
        <w:rPr>
          <w:rFonts w:hint="eastAsia" w:ascii="方正小标宋简体" w:eastAsia="方正小标宋简体"/>
          <w:bCs/>
          <w:w w:val="90"/>
          <w:sz w:val="44"/>
          <w:szCs w:val="44"/>
        </w:rPr>
        <w:t>2017年度部门整体支出绩效自评指标计分表</w:t>
      </w:r>
    </w:p>
    <w:p>
      <w:pPr>
        <w:spacing w:line="80" w:lineRule="exact"/>
        <w:rPr>
          <w:rFonts w:ascii="仿宋_GB2312"/>
        </w:rPr>
      </w:pPr>
    </w:p>
    <w:tbl>
      <w:tblPr>
        <w:tblStyle w:val="7"/>
        <w:tblW w:w="8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7"/>
        <w:gridCol w:w="570"/>
        <w:gridCol w:w="703"/>
        <w:gridCol w:w="446"/>
        <w:gridCol w:w="2976"/>
        <w:gridCol w:w="3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blHeader/>
        </w:trPr>
        <w:tc>
          <w:tcPr>
            <w:tcW w:w="547" w:type="dxa"/>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bCs/>
                <w:szCs w:val="21"/>
              </w:rPr>
            </w:pPr>
            <w:r>
              <w:rPr>
                <w:rFonts w:hint="eastAsia" w:asciiTheme="majorEastAsia" w:hAnsiTheme="majorEastAsia" w:eastAsiaTheme="majorEastAsia"/>
                <w:bCs/>
                <w:szCs w:val="21"/>
              </w:rPr>
              <w:t>一级</w:t>
            </w:r>
            <w:r>
              <w:rPr>
                <w:rFonts w:hint="eastAsia" w:asciiTheme="majorEastAsia" w:hAnsiTheme="majorEastAsia" w:eastAsiaTheme="majorEastAsia"/>
                <w:bCs/>
                <w:szCs w:val="21"/>
              </w:rPr>
              <w:br w:type="textWrapping"/>
            </w:r>
            <w:r>
              <w:rPr>
                <w:rFonts w:hint="eastAsia" w:asciiTheme="majorEastAsia" w:hAnsiTheme="majorEastAsia" w:eastAsiaTheme="majorEastAsia"/>
                <w:bCs/>
                <w:szCs w:val="21"/>
              </w:rPr>
              <w:t>指标</w:t>
            </w:r>
          </w:p>
        </w:tc>
        <w:tc>
          <w:tcPr>
            <w:tcW w:w="570" w:type="dxa"/>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bCs/>
                <w:szCs w:val="21"/>
              </w:rPr>
            </w:pPr>
            <w:r>
              <w:rPr>
                <w:rFonts w:hint="eastAsia" w:asciiTheme="majorEastAsia" w:hAnsiTheme="majorEastAsia" w:eastAsiaTheme="majorEastAsia"/>
                <w:bCs/>
                <w:szCs w:val="21"/>
              </w:rPr>
              <w:t>二级指标</w:t>
            </w:r>
          </w:p>
        </w:tc>
        <w:tc>
          <w:tcPr>
            <w:tcW w:w="703" w:type="dxa"/>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bCs/>
                <w:szCs w:val="21"/>
              </w:rPr>
            </w:pPr>
            <w:r>
              <w:rPr>
                <w:rFonts w:hint="eastAsia" w:asciiTheme="majorEastAsia" w:hAnsiTheme="majorEastAsia" w:eastAsiaTheme="majorEastAsia"/>
                <w:bCs/>
                <w:szCs w:val="21"/>
              </w:rPr>
              <w:t>三级指标</w:t>
            </w:r>
          </w:p>
        </w:tc>
        <w:tc>
          <w:tcPr>
            <w:tcW w:w="446" w:type="dxa"/>
            <w:tcMar>
              <w:top w:w="10" w:type="dxa"/>
              <w:left w:w="10" w:type="dxa"/>
              <w:bottom w:w="0" w:type="dxa"/>
              <w:right w:w="10" w:type="dxa"/>
            </w:tcMar>
            <w:vAlign w:val="center"/>
          </w:tcPr>
          <w:p>
            <w:pPr>
              <w:spacing w:line="240" w:lineRule="exact"/>
              <w:jc w:val="center"/>
              <w:rPr>
                <w:rFonts w:asciiTheme="majorEastAsia" w:hAnsiTheme="majorEastAsia" w:eastAsiaTheme="majorEastAsia"/>
                <w:bCs/>
                <w:szCs w:val="21"/>
              </w:rPr>
            </w:pPr>
            <w:r>
              <w:rPr>
                <w:rFonts w:hint="eastAsia" w:asciiTheme="majorEastAsia" w:hAnsiTheme="majorEastAsia" w:eastAsiaTheme="majorEastAsia"/>
                <w:bCs/>
                <w:szCs w:val="21"/>
              </w:rPr>
              <w:t>自评分</w:t>
            </w:r>
          </w:p>
        </w:tc>
        <w:tc>
          <w:tcPr>
            <w:tcW w:w="2976" w:type="dxa"/>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bCs/>
                <w:szCs w:val="21"/>
              </w:rPr>
            </w:pPr>
            <w:r>
              <w:rPr>
                <w:rFonts w:hint="eastAsia" w:asciiTheme="majorEastAsia" w:hAnsiTheme="majorEastAsia" w:eastAsiaTheme="majorEastAsia"/>
                <w:bCs/>
                <w:szCs w:val="21"/>
              </w:rPr>
              <w:t>指标解释</w:t>
            </w:r>
          </w:p>
        </w:tc>
        <w:tc>
          <w:tcPr>
            <w:tcW w:w="3721" w:type="dxa"/>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bCs/>
                <w:szCs w:val="21"/>
              </w:rPr>
            </w:pPr>
            <w:r>
              <w:rPr>
                <w:rFonts w:hint="eastAsia" w:asciiTheme="majorEastAsia" w:hAnsiTheme="majorEastAsia" w:eastAsiaTheme="majorEastAsia"/>
                <w:bCs/>
                <w:szCs w:val="21"/>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547" w:type="dxa"/>
            <w:vMerge w:val="restart"/>
            <w:shd w:val="clear" w:color="auto" w:fill="auto"/>
            <w:tcMar>
              <w:top w:w="10" w:type="dxa"/>
              <w:left w:w="10" w:type="dxa"/>
              <w:bottom w:w="0" w:type="dxa"/>
              <w:right w:w="10" w:type="dxa"/>
            </w:tcMar>
            <w:textDirection w:val="tbRlV"/>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投   入（20分）</w:t>
            </w:r>
          </w:p>
        </w:tc>
        <w:tc>
          <w:tcPr>
            <w:tcW w:w="570" w:type="dxa"/>
            <w:vMerge w:val="restart"/>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目标</w:t>
            </w:r>
            <w:r>
              <w:rPr>
                <w:rFonts w:hint="eastAsia" w:asciiTheme="majorEastAsia" w:hAnsiTheme="majorEastAsia" w:eastAsiaTheme="majorEastAsia"/>
                <w:szCs w:val="21"/>
              </w:rPr>
              <w:br w:type="textWrapping"/>
            </w:r>
            <w:r>
              <w:rPr>
                <w:rFonts w:hint="eastAsia" w:asciiTheme="majorEastAsia" w:hAnsiTheme="majorEastAsia" w:eastAsiaTheme="majorEastAsia"/>
                <w:szCs w:val="21"/>
              </w:rPr>
              <w:t>设定（5分）</w:t>
            </w:r>
          </w:p>
        </w:tc>
        <w:tc>
          <w:tcPr>
            <w:tcW w:w="703" w:type="dxa"/>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绩效目标合理性（2分）</w:t>
            </w:r>
          </w:p>
        </w:tc>
        <w:tc>
          <w:tcPr>
            <w:tcW w:w="446" w:type="dxa"/>
            <w:tcMar>
              <w:top w:w="10" w:type="dxa"/>
              <w:left w:w="10" w:type="dxa"/>
              <w:bottom w:w="0" w:type="dxa"/>
              <w:right w:w="10" w:type="dxa"/>
            </w:tcMar>
            <w:vAlign w:val="center"/>
          </w:tcPr>
          <w:p>
            <w:pPr>
              <w:tabs>
                <w:tab w:val="left" w:pos="2604"/>
              </w:tabs>
              <w:spacing w:line="240" w:lineRule="exact"/>
              <w:jc w:val="center"/>
              <w:rPr>
                <w:rFonts w:hint="eastAsia" w:asciiTheme="majorEastAsia" w:hAnsiTheme="majorEastAsia" w:eastAsiaTheme="majorEastAsia"/>
                <w:szCs w:val="21"/>
                <w:lang w:val="en-US" w:eastAsia="zh-CN"/>
              </w:rPr>
            </w:pPr>
            <w:r>
              <w:rPr>
                <w:rFonts w:hint="eastAsia" w:asciiTheme="majorEastAsia" w:hAnsiTheme="majorEastAsia" w:eastAsiaTheme="majorEastAsia"/>
                <w:szCs w:val="21"/>
                <w:lang w:val="en-US" w:eastAsia="zh-CN"/>
              </w:rPr>
              <w:t>2</w:t>
            </w:r>
          </w:p>
        </w:tc>
        <w:tc>
          <w:tcPr>
            <w:tcW w:w="2976" w:type="dxa"/>
            <w:shd w:val="clear" w:color="auto" w:fill="auto"/>
            <w:tcMar>
              <w:top w:w="10" w:type="dxa"/>
              <w:left w:w="10" w:type="dxa"/>
              <w:bottom w:w="0" w:type="dxa"/>
              <w:right w:w="10" w:type="dxa"/>
            </w:tcMar>
            <w:vAlign w:val="center"/>
          </w:tcPr>
          <w:p>
            <w:pPr>
              <w:tabs>
                <w:tab w:val="left" w:pos="2604"/>
              </w:tabs>
              <w:spacing w:line="240" w:lineRule="exact"/>
              <w:rPr>
                <w:rFonts w:asciiTheme="majorEastAsia" w:hAnsiTheme="majorEastAsia" w:eastAsiaTheme="majorEastAsia"/>
                <w:szCs w:val="21"/>
              </w:rPr>
            </w:pPr>
            <w:r>
              <w:rPr>
                <w:rFonts w:hint="eastAsia" w:asciiTheme="majorEastAsia" w:hAnsiTheme="majorEastAsia" w:eastAsiaTheme="majorEastAsia"/>
                <w:szCs w:val="21"/>
              </w:rPr>
              <w:t>部门所设立的整体绩效目标依据是否充分，是否符合客观实际，用以反映和考核部门整体绩效目标与部门履职、年度工作任务的相符性情况。</w:t>
            </w:r>
          </w:p>
        </w:tc>
        <w:tc>
          <w:tcPr>
            <w:tcW w:w="3721" w:type="dxa"/>
            <w:shd w:val="clear" w:color="auto" w:fill="auto"/>
            <w:tcMar>
              <w:top w:w="10" w:type="dxa"/>
              <w:left w:w="10" w:type="dxa"/>
              <w:bottom w:w="0" w:type="dxa"/>
              <w:right w:w="10" w:type="dxa"/>
            </w:tcMar>
            <w:vAlign w:val="center"/>
          </w:tcPr>
          <w:p>
            <w:pPr>
              <w:spacing w:line="240" w:lineRule="exact"/>
              <w:rPr>
                <w:rFonts w:asciiTheme="majorEastAsia" w:hAnsiTheme="majorEastAsia" w:eastAsiaTheme="majorEastAsia"/>
                <w:szCs w:val="21"/>
              </w:rPr>
            </w:pPr>
            <w:r>
              <w:rPr>
                <w:rFonts w:hint="eastAsia" w:asciiTheme="majorEastAsia" w:hAnsiTheme="majorEastAsia" w:eastAsiaTheme="majorEastAsia"/>
                <w:szCs w:val="21"/>
              </w:rPr>
              <w:t>①符合国家法律法规、国民经济和社会发展总体规划计1分；②符合部门“三定”方案确定的职责计0.5分；③是否符合部门制定的中长期实施规划计0.5分。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Theme="majorEastAsia" w:hAnsiTheme="majorEastAsia" w:eastAsiaTheme="majorEastAsia"/>
                <w:szCs w:val="21"/>
              </w:rPr>
            </w:pPr>
          </w:p>
        </w:tc>
        <w:tc>
          <w:tcPr>
            <w:tcW w:w="570" w:type="dxa"/>
            <w:vMerge w:val="continue"/>
            <w:vAlign w:val="center"/>
          </w:tcPr>
          <w:p>
            <w:pPr>
              <w:spacing w:line="240" w:lineRule="exact"/>
              <w:jc w:val="center"/>
              <w:rPr>
                <w:rFonts w:asciiTheme="majorEastAsia" w:hAnsiTheme="majorEastAsia" w:eastAsiaTheme="majorEastAsia"/>
                <w:szCs w:val="21"/>
              </w:rPr>
            </w:pPr>
          </w:p>
        </w:tc>
        <w:tc>
          <w:tcPr>
            <w:tcW w:w="703" w:type="dxa"/>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绩效指标明确性（3分）</w:t>
            </w:r>
          </w:p>
        </w:tc>
        <w:tc>
          <w:tcPr>
            <w:tcW w:w="446" w:type="dxa"/>
            <w:tcMar>
              <w:top w:w="10" w:type="dxa"/>
              <w:left w:w="10" w:type="dxa"/>
              <w:bottom w:w="0" w:type="dxa"/>
              <w:right w:w="10" w:type="dxa"/>
            </w:tcMar>
            <w:vAlign w:val="center"/>
          </w:tcPr>
          <w:p>
            <w:pPr>
              <w:tabs>
                <w:tab w:val="left" w:pos="2604"/>
              </w:tabs>
              <w:spacing w:line="240" w:lineRule="exact"/>
              <w:jc w:val="center"/>
              <w:rPr>
                <w:rFonts w:hint="eastAsia" w:asciiTheme="majorEastAsia" w:hAnsiTheme="majorEastAsia" w:eastAsiaTheme="majorEastAsia"/>
                <w:szCs w:val="21"/>
                <w:lang w:val="en-US" w:eastAsia="zh-CN"/>
              </w:rPr>
            </w:pPr>
            <w:r>
              <w:rPr>
                <w:rFonts w:hint="eastAsia" w:asciiTheme="majorEastAsia" w:hAnsiTheme="majorEastAsia" w:eastAsiaTheme="majorEastAsia"/>
                <w:szCs w:val="21"/>
                <w:lang w:val="en-US" w:eastAsia="zh-CN"/>
              </w:rPr>
              <w:t>3</w:t>
            </w:r>
          </w:p>
        </w:tc>
        <w:tc>
          <w:tcPr>
            <w:tcW w:w="2976" w:type="dxa"/>
            <w:shd w:val="clear" w:color="auto" w:fill="auto"/>
            <w:tcMar>
              <w:top w:w="10" w:type="dxa"/>
              <w:left w:w="10" w:type="dxa"/>
              <w:bottom w:w="0" w:type="dxa"/>
              <w:right w:w="10" w:type="dxa"/>
            </w:tcMar>
            <w:vAlign w:val="center"/>
          </w:tcPr>
          <w:p>
            <w:pPr>
              <w:tabs>
                <w:tab w:val="left" w:pos="2604"/>
              </w:tabs>
              <w:spacing w:line="240" w:lineRule="exact"/>
              <w:rPr>
                <w:rFonts w:asciiTheme="majorEastAsia" w:hAnsiTheme="majorEastAsia" w:eastAsiaTheme="majorEastAsia"/>
                <w:szCs w:val="21"/>
              </w:rPr>
            </w:pPr>
            <w:r>
              <w:rPr>
                <w:rFonts w:hint="eastAsia" w:asciiTheme="majorEastAsia" w:hAnsiTheme="majorEastAsia" w:eastAsiaTheme="majorEastAsia"/>
                <w:szCs w:val="21"/>
              </w:rPr>
              <w:t>部门依据整体绩效目标所设定的绩效指标是否清晰、细化、可衡量，用以反映和考核部门整体绩效目标的明细化情况。</w:t>
            </w:r>
          </w:p>
        </w:tc>
        <w:tc>
          <w:tcPr>
            <w:tcW w:w="3721" w:type="dxa"/>
            <w:shd w:val="clear" w:color="auto" w:fill="auto"/>
            <w:tcMar>
              <w:top w:w="10" w:type="dxa"/>
              <w:left w:w="10" w:type="dxa"/>
              <w:bottom w:w="0" w:type="dxa"/>
              <w:right w:w="10" w:type="dxa"/>
            </w:tcMar>
            <w:vAlign w:val="center"/>
          </w:tcPr>
          <w:p>
            <w:pPr>
              <w:spacing w:line="240" w:lineRule="exact"/>
              <w:rPr>
                <w:rFonts w:asciiTheme="majorEastAsia" w:hAnsiTheme="majorEastAsia" w:eastAsiaTheme="majorEastAsia"/>
                <w:szCs w:val="21"/>
              </w:rPr>
            </w:pPr>
            <w:r>
              <w:rPr>
                <w:rFonts w:hint="eastAsia" w:asciiTheme="majorEastAsia" w:hAnsiTheme="majorEastAsia" w:eastAsiaTheme="majorEastAsia"/>
                <w:szCs w:val="21"/>
              </w:rPr>
              <w:t>①将部门整体的绩效目标细化分解为具体的工作任务计1分；②通过清晰、可衡量的指标值予以体现计0.5分。③与部门年度的任务数或计划数相对应计0.5分；④与本年度部门预算资金相匹配计1分。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Theme="majorEastAsia" w:hAnsiTheme="majorEastAsia" w:eastAsiaTheme="majorEastAsia"/>
                <w:szCs w:val="21"/>
              </w:rPr>
            </w:pPr>
          </w:p>
        </w:tc>
        <w:tc>
          <w:tcPr>
            <w:tcW w:w="570" w:type="dxa"/>
            <w:vMerge w:val="restart"/>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预算</w:t>
            </w:r>
            <w:r>
              <w:rPr>
                <w:rFonts w:hint="eastAsia" w:asciiTheme="majorEastAsia" w:hAnsiTheme="majorEastAsia" w:eastAsiaTheme="majorEastAsia"/>
                <w:szCs w:val="21"/>
              </w:rPr>
              <w:br w:type="textWrapping"/>
            </w:r>
            <w:r>
              <w:rPr>
                <w:rFonts w:hint="eastAsia" w:asciiTheme="majorEastAsia" w:hAnsiTheme="majorEastAsia" w:eastAsiaTheme="majorEastAsia"/>
                <w:szCs w:val="21"/>
              </w:rPr>
              <w:t>配置（15分）</w:t>
            </w:r>
          </w:p>
        </w:tc>
        <w:tc>
          <w:tcPr>
            <w:tcW w:w="703" w:type="dxa"/>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在职人员控制率（5分）</w:t>
            </w:r>
          </w:p>
        </w:tc>
        <w:tc>
          <w:tcPr>
            <w:tcW w:w="446" w:type="dxa"/>
            <w:tcMar>
              <w:top w:w="10" w:type="dxa"/>
              <w:left w:w="10" w:type="dxa"/>
              <w:bottom w:w="0" w:type="dxa"/>
              <w:right w:w="10" w:type="dxa"/>
            </w:tcMar>
            <w:vAlign w:val="center"/>
          </w:tcPr>
          <w:p>
            <w:pPr>
              <w:tabs>
                <w:tab w:val="left" w:pos="2604"/>
              </w:tabs>
              <w:spacing w:line="240" w:lineRule="exact"/>
              <w:jc w:val="center"/>
              <w:rPr>
                <w:rFonts w:hint="eastAsia" w:asciiTheme="majorEastAsia" w:hAnsiTheme="majorEastAsia" w:eastAsiaTheme="majorEastAsia"/>
                <w:szCs w:val="21"/>
                <w:lang w:val="en-US" w:eastAsia="zh-CN"/>
              </w:rPr>
            </w:pPr>
            <w:r>
              <w:rPr>
                <w:rFonts w:hint="eastAsia" w:asciiTheme="majorEastAsia" w:hAnsiTheme="majorEastAsia" w:eastAsiaTheme="majorEastAsia"/>
                <w:szCs w:val="21"/>
                <w:lang w:val="en-US" w:eastAsia="zh-CN"/>
              </w:rPr>
              <w:t>5</w:t>
            </w:r>
          </w:p>
        </w:tc>
        <w:tc>
          <w:tcPr>
            <w:tcW w:w="2976" w:type="dxa"/>
            <w:shd w:val="clear" w:color="auto" w:fill="auto"/>
            <w:tcMar>
              <w:top w:w="10" w:type="dxa"/>
              <w:left w:w="10" w:type="dxa"/>
              <w:bottom w:w="0" w:type="dxa"/>
              <w:right w:w="10" w:type="dxa"/>
            </w:tcMar>
            <w:vAlign w:val="center"/>
          </w:tcPr>
          <w:p>
            <w:pPr>
              <w:tabs>
                <w:tab w:val="left" w:pos="2604"/>
              </w:tabs>
              <w:spacing w:line="240" w:lineRule="exact"/>
              <w:rPr>
                <w:rFonts w:asciiTheme="majorEastAsia" w:hAnsiTheme="majorEastAsia" w:eastAsiaTheme="majorEastAsia"/>
                <w:szCs w:val="21"/>
              </w:rPr>
            </w:pPr>
            <w:r>
              <w:rPr>
                <w:rFonts w:hint="eastAsia" w:asciiTheme="majorEastAsia" w:hAnsiTheme="majorEastAsia" w:eastAsiaTheme="majorEastAsia"/>
                <w:szCs w:val="21"/>
              </w:rPr>
              <w:t>部门本年度实际在职人员数与编制数的比率，用以反映和考核部门对人员成本的控制程度。</w:t>
            </w:r>
          </w:p>
        </w:tc>
        <w:tc>
          <w:tcPr>
            <w:tcW w:w="3721" w:type="dxa"/>
            <w:shd w:val="clear" w:color="auto" w:fill="auto"/>
            <w:tcMar>
              <w:top w:w="10" w:type="dxa"/>
              <w:left w:w="10" w:type="dxa"/>
              <w:bottom w:w="0" w:type="dxa"/>
              <w:right w:w="10" w:type="dxa"/>
            </w:tcMar>
            <w:vAlign w:val="center"/>
          </w:tcPr>
          <w:p>
            <w:pPr>
              <w:spacing w:line="240" w:lineRule="exact"/>
              <w:rPr>
                <w:rFonts w:asciiTheme="majorEastAsia" w:hAnsiTheme="majorEastAsia" w:eastAsiaTheme="majorEastAsia"/>
                <w:szCs w:val="21"/>
              </w:rPr>
            </w:pPr>
            <w:r>
              <w:rPr>
                <w:rFonts w:hint="eastAsia" w:asciiTheme="majorEastAsia" w:hAnsiTheme="majorEastAsia" w:eastAsiaTheme="majorEastAsia"/>
                <w:szCs w:val="21"/>
              </w:rPr>
              <w:t>在职人员控制率=（在职人员数/编制数）×100%小于或等于1计5分，否则按比例计分。在职人员数：部门实际在职人数，以财政部确定的部门决算编制口径为准。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Theme="majorEastAsia" w:hAnsiTheme="majorEastAsia" w:eastAsiaTheme="majorEastAsia"/>
                <w:szCs w:val="21"/>
              </w:rPr>
            </w:pPr>
          </w:p>
        </w:tc>
        <w:tc>
          <w:tcPr>
            <w:tcW w:w="570" w:type="dxa"/>
            <w:vMerge w:val="continue"/>
            <w:vAlign w:val="center"/>
          </w:tcPr>
          <w:p>
            <w:pPr>
              <w:spacing w:line="240" w:lineRule="exact"/>
              <w:jc w:val="center"/>
              <w:rPr>
                <w:rFonts w:asciiTheme="majorEastAsia" w:hAnsiTheme="majorEastAsia" w:eastAsiaTheme="majorEastAsia"/>
                <w:szCs w:val="21"/>
              </w:rPr>
            </w:pPr>
          </w:p>
        </w:tc>
        <w:tc>
          <w:tcPr>
            <w:tcW w:w="703" w:type="dxa"/>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“三公经费”</w:t>
            </w:r>
          </w:p>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变动率（5分）</w:t>
            </w:r>
          </w:p>
        </w:tc>
        <w:tc>
          <w:tcPr>
            <w:tcW w:w="446" w:type="dxa"/>
            <w:tcMar>
              <w:top w:w="10" w:type="dxa"/>
              <w:left w:w="10" w:type="dxa"/>
              <w:bottom w:w="0" w:type="dxa"/>
              <w:right w:w="10" w:type="dxa"/>
            </w:tcMar>
            <w:vAlign w:val="center"/>
          </w:tcPr>
          <w:p>
            <w:pPr>
              <w:tabs>
                <w:tab w:val="left" w:pos="2604"/>
              </w:tabs>
              <w:spacing w:line="240" w:lineRule="exact"/>
              <w:jc w:val="center"/>
              <w:rPr>
                <w:rFonts w:hint="eastAsia" w:asciiTheme="majorEastAsia" w:hAnsiTheme="majorEastAsia" w:eastAsiaTheme="majorEastAsia"/>
                <w:szCs w:val="21"/>
                <w:lang w:val="en-US" w:eastAsia="zh-CN"/>
              </w:rPr>
            </w:pPr>
            <w:r>
              <w:rPr>
                <w:rFonts w:hint="eastAsia" w:asciiTheme="majorEastAsia" w:hAnsiTheme="majorEastAsia" w:eastAsiaTheme="majorEastAsia"/>
                <w:szCs w:val="21"/>
                <w:lang w:val="en-US" w:eastAsia="zh-CN"/>
              </w:rPr>
              <w:t>5</w:t>
            </w:r>
          </w:p>
        </w:tc>
        <w:tc>
          <w:tcPr>
            <w:tcW w:w="2976" w:type="dxa"/>
            <w:shd w:val="clear" w:color="auto" w:fill="auto"/>
            <w:tcMar>
              <w:top w:w="10" w:type="dxa"/>
              <w:left w:w="10" w:type="dxa"/>
              <w:bottom w:w="0" w:type="dxa"/>
              <w:right w:w="10" w:type="dxa"/>
            </w:tcMar>
            <w:vAlign w:val="center"/>
          </w:tcPr>
          <w:p>
            <w:pPr>
              <w:tabs>
                <w:tab w:val="left" w:pos="2604"/>
              </w:tabs>
              <w:spacing w:line="240" w:lineRule="exact"/>
              <w:rPr>
                <w:rFonts w:asciiTheme="majorEastAsia" w:hAnsiTheme="majorEastAsia" w:eastAsiaTheme="majorEastAsia"/>
                <w:szCs w:val="21"/>
              </w:rPr>
            </w:pPr>
            <w:r>
              <w:rPr>
                <w:rFonts w:hint="eastAsia" w:asciiTheme="majorEastAsia" w:hAnsiTheme="majorEastAsia" w:eastAsiaTheme="majorEastAsia"/>
                <w:szCs w:val="21"/>
              </w:rPr>
              <w:t>部门本年度“三公经费”预算数与上年度“三公经费”预算数的变动比率，用以反映和考核部门对控制重点行政成本的努力程度。</w:t>
            </w:r>
          </w:p>
        </w:tc>
        <w:tc>
          <w:tcPr>
            <w:tcW w:w="3721" w:type="dxa"/>
            <w:shd w:val="clear" w:color="auto" w:fill="auto"/>
            <w:tcMar>
              <w:top w:w="10" w:type="dxa"/>
              <w:left w:w="10" w:type="dxa"/>
              <w:bottom w:w="0" w:type="dxa"/>
              <w:right w:w="10" w:type="dxa"/>
            </w:tcMar>
            <w:vAlign w:val="center"/>
          </w:tcPr>
          <w:p>
            <w:pPr>
              <w:spacing w:line="240" w:lineRule="exact"/>
              <w:rPr>
                <w:rFonts w:asciiTheme="majorEastAsia" w:hAnsiTheme="majorEastAsia" w:eastAsiaTheme="majorEastAsia"/>
                <w:szCs w:val="21"/>
              </w:rPr>
            </w:pPr>
            <w:r>
              <w:rPr>
                <w:rFonts w:hint="eastAsia" w:asciiTheme="majorEastAsia" w:hAnsiTheme="majorEastAsia" w:eastAsiaTheme="majorEastAsia"/>
                <w:szCs w:val="21"/>
              </w:rPr>
              <w:t>“三公经费”变动率=[（本年度“三公经费”总额-上年度“三公经费”总额）/上年度“三公经费”总额]×100%。下降的计5分，增加的按比例扣减。“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Theme="majorEastAsia" w:hAnsiTheme="majorEastAsia" w:eastAsiaTheme="majorEastAsia"/>
                <w:szCs w:val="21"/>
              </w:rPr>
            </w:pPr>
          </w:p>
        </w:tc>
        <w:tc>
          <w:tcPr>
            <w:tcW w:w="570" w:type="dxa"/>
            <w:vMerge w:val="continue"/>
            <w:vAlign w:val="center"/>
          </w:tcPr>
          <w:p>
            <w:pPr>
              <w:spacing w:line="240" w:lineRule="exact"/>
              <w:jc w:val="center"/>
              <w:rPr>
                <w:rFonts w:asciiTheme="majorEastAsia" w:hAnsiTheme="majorEastAsia" w:eastAsiaTheme="majorEastAsia"/>
                <w:szCs w:val="21"/>
              </w:rPr>
            </w:pPr>
          </w:p>
        </w:tc>
        <w:tc>
          <w:tcPr>
            <w:tcW w:w="703" w:type="dxa"/>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重点支出安排率（5分）</w:t>
            </w:r>
          </w:p>
        </w:tc>
        <w:tc>
          <w:tcPr>
            <w:tcW w:w="446" w:type="dxa"/>
            <w:tcMar>
              <w:top w:w="10" w:type="dxa"/>
              <w:left w:w="10" w:type="dxa"/>
              <w:bottom w:w="0" w:type="dxa"/>
              <w:right w:w="10" w:type="dxa"/>
            </w:tcMar>
            <w:vAlign w:val="center"/>
          </w:tcPr>
          <w:p>
            <w:pPr>
              <w:tabs>
                <w:tab w:val="left" w:pos="2604"/>
              </w:tabs>
              <w:spacing w:line="240" w:lineRule="exact"/>
              <w:jc w:val="center"/>
              <w:rPr>
                <w:rFonts w:hint="eastAsia" w:asciiTheme="majorEastAsia" w:hAnsiTheme="majorEastAsia" w:eastAsiaTheme="majorEastAsia"/>
                <w:szCs w:val="21"/>
                <w:lang w:val="en-US" w:eastAsia="zh-CN"/>
              </w:rPr>
            </w:pPr>
            <w:r>
              <w:rPr>
                <w:rFonts w:hint="eastAsia" w:asciiTheme="majorEastAsia" w:hAnsiTheme="majorEastAsia" w:eastAsiaTheme="majorEastAsia"/>
                <w:szCs w:val="21"/>
                <w:lang w:val="en-US" w:eastAsia="zh-CN"/>
              </w:rPr>
              <w:t>4</w:t>
            </w:r>
          </w:p>
        </w:tc>
        <w:tc>
          <w:tcPr>
            <w:tcW w:w="2976" w:type="dxa"/>
            <w:shd w:val="clear" w:color="auto" w:fill="auto"/>
            <w:tcMar>
              <w:top w:w="10" w:type="dxa"/>
              <w:left w:w="10" w:type="dxa"/>
              <w:bottom w:w="0" w:type="dxa"/>
              <w:right w:w="10" w:type="dxa"/>
            </w:tcMar>
            <w:vAlign w:val="center"/>
          </w:tcPr>
          <w:p>
            <w:pPr>
              <w:tabs>
                <w:tab w:val="left" w:pos="2604"/>
              </w:tabs>
              <w:spacing w:line="240" w:lineRule="exact"/>
              <w:rPr>
                <w:rFonts w:asciiTheme="majorEastAsia" w:hAnsiTheme="majorEastAsia" w:eastAsiaTheme="majorEastAsia"/>
                <w:szCs w:val="21"/>
              </w:rPr>
            </w:pPr>
            <w:r>
              <w:rPr>
                <w:rFonts w:hint="eastAsia" w:asciiTheme="majorEastAsia" w:hAnsiTheme="majorEastAsia" w:eastAsiaTheme="majorEastAsia"/>
                <w:szCs w:val="21"/>
              </w:rPr>
              <w:t>部门本年度预算安排的重点项目支出与部门项目总支出的比率，用以反映和考核部门对履行主要职责或完成重点任务的保障程度。</w:t>
            </w:r>
          </w:p>
        </w:tc>
        <w:tc>
          <w:tcPr>
            <w:tcW w:w="3721" w:type="dxa"/>
            <w:shd w:val="clear" w:color="auto" w:fill="auto"/>
            <w:tcMar>
              <w:top w:w="10" w:type="dxa"/>
              <w:left w:w="10" w:type="dxa"/>
              <w:bottom w:w="0" w:type="dxa"/>
              <w:right w:w="10" w:type="dxa"/>
            </w:tcMar>
            <w:vAlign w:val="center"/>
          </w:tcPr>
          <w:p>
            <w:pPr>
              <w:spacing w:line="240" w:lineRule="exact"/>
              <w:rPr>
                <w:rFonts w:asciiTheme="majorEastAsia" w:hAnsiTheme="majorEastAsia" w:eastAsiaTheme="majorEastAsia"/>
                <w:szCs w:val="21"/>
              </w:rPr>
            </w:pPr>
            <w:r>
              <w:rPr>
                <w:rFonts w:hint="eastAsia" w:asciiTheme="majorEastAsia" w:hAnsiTheme="majorEastAsia" w:eastAsiaTheme="majorEastAsia"/>
                <w:szCs w:val="21"/>
              </w:rPr>
              <w:t>重点支出安排率=（重点项目支出/项目总支出）×100%。实际得分=支出安排率*5分。重点项目支出：部门年度预算安排的，与本部门履职和发展密切相关、具有明显社会和经济影响、党委政府关心或社会比较关注的项目支出总额。项目总支出：部门年度预算安排的项目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547" w:type="dxa"/>
            <w:vMerge w:val="restart"/>
            <w:shd w:val="clear" w:color="auto" w:fill="auto"/>
            <w:tcMar>
              <w:top w:w="10" w:type="dxa"/>
              <w:left w:w="10" w:type="dxa"/>
              <w:bottom w:w="0" w:type="dxa"/>
              <w:right w:w="10" w:type="dxa"/>
            </w:tcMar>
            <w:textDirection w:val="tbRlV"/>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过             程（30分）</w:t>
            </w:r>
          </w:p>
        </w:tc>
        <w:tc>
          <w:tcPr>
            <w:tcW w:w="570" w:type="dxa"/>
            <w:vMerge w:val="restart"/>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预算</w:t>
            </w:r>
            <w:r>
              <w:rPr>
                <w:rFonts w:hint="eastAsia" w:asciiTheme="majorEastAsia" w:hAnsiTheme="majorEastAsia" w:eastAsiaTheme="majorEastAsia"/>
                <w:szCs w:val="21"/>
              </w:rPr>
              <w:br w:type="textWrapping"/>
            </w:r>
            <w:r>
              <w:rPr>
                <w:rFonts w:hint="eastAsia" w:asciiTheme="majorEastAsia" w:hAnsiTheme="majorEastAsia" w:eastAsiaTheme="majorEastAsia"/>
                <w:szCs w:val="21"/>
              </w:rPr>
              <w:t>执行</w:t>
            </w:r>
          </w:p>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（20分）</w:t>
            </w:r>
          </w:p>
        </w:tc>
        <w:tc>
          <w:tcPr>
            <w:tcW w:w="703" w:type="dxa"/>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预算完成率（4分）</w:t>
            </w:r>
          </w:p>
        </w:tc>
        <w:tc>
          <w:tcPr>
            <w:tcW w:w="446" w:type="dxa"/>
            <w:tcMar>
              <w:top w:w="10" w:type="dxa"/>
              <w:left w:w="10" w:type="dxa"/>
              <w:bottom w:w="0" w:type="dxa"/>
              <w:right w:w="10" w:type="dxa"/>
            </w:tcMar>
            <w:vAlign w:val="center"/>
          </w:tcPr>
          <w:p>
            <w:pPr>
              <w:tabs>
                <w:tab w:val="left" w:pos="2604"/>
              </w:tabs>
              <w:spacing w:line="240" w:lineRule="exact"/>
              <w:jc w:val="center"/>
              <w:rPr>
                <w:rFonts w:hint="eastAsia" w:asciiTheme="majorEastAsia" w:hAnsiTheme="majorEastAsia" w:eastAsiaTheme="majorEastAsia"/>
                <w:szCs w:val="21"/>
                <w:lang w:val="en-US" w:eastAsia="zh-CN"/>
              </w:rPr>
            </w:pPr>
            <w:r>
              <w:rPr>
                <w:rFonts w:hint="eastAsia" w:asciiTheme="majorEastAsia" w:hAnsiTheme="majorEastAsia" w:eastAsiaTheme="majorEastAsia"/>
                <w:szCs w:val="21"/>
                <w:lang w:val="en-US" w:eastAsia="zh-CN"/>
              </w:rPr>
              <w:t>4</w:t>
            </w:r>
          </w:p>
        </w:tc>
        <w:tc>
          <w:tcPr>
            <w:tcW w:w="2976" w:type="dxa"/>
            <w:shd w:val="clear" w:color="auto" w:fill="auto"/>
            <w:tcMar>
              <w:top w:w="10" w:type="dxa"/>
              <w:left w:w="10" w:type="dxa"/>
              <w:bottom w:w="0" w:type="dxa"/>
              <w:right w:w="10" w:type="dxa"/>
            </w:tcMar>
            <w:vAlign w:val="center"/>
          </w:tcPr>
          <w:p>
            <w:pPr>
              <w:tabs>
                <w:tab w:val="left" w:pos="2604"/>
              </w:tabs>
              <w:spacing w:line="240" w:lineRule="exact"/>
              <w:rPr>
                <w:rFonts w:asciiTheme="majorEastAsia" w:hAnsiTheme="majorEastAsia" w:eastAsiaTheme="majorEastAsia"/>
                <w:szCs w:val="21"/>
              </w:rPr>
            </w:pPr>
            <w:r>
              <w:rPr>
                <w:rFonts w:hint="eastAsia" w:asciiTheme="majorEastAsia" w:hAnsiTheme="majorEastAsia" w:eastAsiaTheme="majorEastAsia"/>
                <w:szCs w:val="21"/>
              </w:rPr>
              <w:t>部门本年度预算完成数与预算数的比率，用以反映和考核部门预算完成程度。</w:t>
            </w:r>
          </w:p>
        </w:tc>
        <w:tc>
          <w:tcPr>
            <w:tcW w:w="3721" w:type="dxa"/>
            <w:shd w:val="clear" w:color="auto" w:fill="auto"/>
            <w:tcMar>
              <w:top w:w="10" w:type="dxa"/>
              <w:left w:w="10" w:type="dxa"/>
              <w:bottom w:w="0" w:type="dxa"/>
              <w:right w:w="10" w:type="dxa"/>
            </w:tcMar>
            <w:vAlign w:val="center"/>
          </w:tcPr>
          <w:p>
            <w:pPr>
              <w:spacing w:line="240" w:lineRule="exact"/>
              <w:rPr>
                <w:rFonts w:asciiTheme="majorEastAsia" w:hAnsiTheme="majorEastAsia" w:eastAsiaTheme="majorEastAsia"/>
                <w:szCs w:val="21"/>
              </w:rPr>
            </w:pPr>
            <w:r>
              <w:rPr>
                <w:rFonts w:hint="eastAsia" w:asciiTheme="majorEastAsia" w:hAnsiTheme="majorEastAsia" w:eastAsiaTheme="majorEastAsia"/>
                <w:szCs w:val="21"/>
              </w:rPr>
              <w:t>预算完成率=（预算完成数/预算数）×100%。完成年初预算计4分，未完成年初预算按比例扣减，预算完成数：部门本年度实际完成的预算数。预算数：财政部门批复的本年度部门预算数。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Theme="majorEastAsia" w:hAnsiTheme="majorEastAsia" w:eastAsiaTheme="majorEastAsia"/>
                <w:szCs w:val="21"/>
              </w:rPr>
            </w:pPr>
          </w:p>
        </w:tc>
        <w:tc>
          <w:tcPr>
            <w:tcW w:w="570" w:type="dxa"/>
            <w:vMerge w:val="continue"/>
            <w:vAlign w:val="center"/>
          </w:tcPr>
          <w:p>
            <w:pPr>
              <w:spacing w:line="240" w:lineRule="exact"/>
              <w:jc w:val="center"/>
              <w:rPr>
                <w:rFonts w:asciiTheme="majorEastAsia" w:hAnsiTheme="majorEastAsia" w:eastAsiaTheme="majorEastAsia"/>
                <w:szCs w:val="21"/>
              </w:rPr>
            </w:pPr>
          </w:p>
        </w:tc>
        <w:tc>
          <w:tcPr>
            <w:tcW w:w="703" w:type="dxa"/>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预算调整率（2分）</w:t>
            </w:r>
          </w:p>
        </w:tc>
        <w:tc>
          <w:tcPr>
            <w:tcW w:w="446" w:type="dxa"/>
            <w:tcMar>
              <w:top w:w="10" w:type="dxa"/>
              <w:left w:w="10" w:type="dxa"/>
              <w:bottom w:w="0" w:type="dxa"/>
              <w:right w:w="10" w:type="dxa"/>
            </w:tcMar>
            <w:vAlign w:val="center"/>
          </w:tcPr>
          <w:p>
            <w:pPr>
              <w:tabs>
                <w:tab w:val="left" w:pos="2604"/>
              </w:tabs>
              <w:spacing w:line="240" w:lineRule="exact"/>
              <w:jc w:val="center"/>
              <w:rPr>
                <w:rFonts w:hint="eastAsia" w:asciiTheme="majorEastAsia" w:hAnsiTheme="majorEastAsia" w:eastAsiaTheme="majorEastAsia"/>
                <w:szCs w:val="21"/>
                <w:lang w:val="en-US" w:eastAsia="zh-CN"/>
              </w:rPr>
            </w:pPr>
            <w:r>
              <w:rPr>
                <w:rFonts w:hint="eastAsia" w:asciiTheme="majorEastAsia" w:hAnsiTheme="majorEastAsia" w:eastAsiaTheme="majorEastAsia"/>
                <w:szCs w:val="21"/>
                <w:lang w:val="en-US" w:eastAsia="zh-CN"/>
              </w:rPr>
              <w:t>2</w:t>
            </w:r>
          </w:p>
        </w:tc>
        <w:tc>
          <w:tcPr>
            <w:tcW w:w="2976" w:type="dxa"/>
            <w:shd w:val="clear" w:color="auto" w:fill="auto"/>
            <w:tcMar>
              <w:top w:w="10" w:type="dxa"/>
              <w:left w:w="10" w:type="dxa"/>
              <w:bottom w:w="0" w:type="dxa"/>
              <w:right w:w="10" w:type="dxa"/>
            </w:tcMar>
            <w:vAlign w:val="center"/>
          </w:tcPr>
          <w:p>
            <w:pPr>
              <w:tabs>
                <w:tab w:val="left" w:pos="2604"/>
              </w:tabs>
              <w:spacing w:line="240" w:lineRule="exact"/>
              <w:rPr>
                <w:rFonts w:asciiTheme="majorEastAsia" w:hAnsiTheme="majorEastAsia" w:eastAsiaTheme="majorEastAsia"/>
                <w:szCs w:val="21"/>
              </w:rPr>
            </w:pPr>
            <w:r>
              <w:rPr>
                <w:rFonts w:hint="eastAsia" w:asciiTheme="majorEastAsia" w:hAnsiTheme="majorEastAsia" w:eastAsiaTheme="majorEastAsia"/>
                <w:szCs w:val="21"/>
              </w:rPr>
              <w:t>部门本年度预算调整数与预算数的比率，用以反映和考核部门预算的调整程度。</w:t>
            </w:r>
          </w:p>
        </w:tc>
        <w:tc>
          <w:tcPr>
            <w:tcW w:w="3721" w:type="dxa"/>
            <w:shd w:val="clear" w:color="auto" w:fill="auto"/>
            <w:tcMar>
              <w:top w:w="10" w:type="dxa"/>
              <w:left w:w="10" w:type="dxa"/>
              <w:bottom w:w="0" w:type="dxa"/>
              <w:right w:w="10" w:type="dxa"/>
            </w:tcMar>
            <w:vAlign w:val="center"/>
          </w:tcPr>
          <w:p>
            <w:pPr>
              <w:spacing w:line="240" w:lineRule="exact"/>
              <w:rPr>
                <w:rFonts w:asciiTheme="majorEastAsia" w:hAnsiTheme="majorEastAsia" w:eastAsiaTheme="majorEastAsia"/>
                <w:szCs w:val="21"/>
              </w:rPr>
            </w:pPr>
            <w:r>
              <w:rPr>
                <w:rFonts w:hint="eastAsia" w:asciiTheme="majorEastAsia" w:hAnsiTheme="majorEastAsia" w:eastAsiaTheme="majorEastAsia"/>
                <w:szCs w:val="21"/>
              </w:rPr>
              <w:t>预算调整率=（预算调整数/预算数）×100%。未调整的计2分，调整了的除特殊原因外按比例扣减。预算调整数：部门在本年度内涉及预算的追加、追减或结构调整的资金总和（因落实国家政策、发生不可抗力、上级部门或同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Theme="majorEastAsia" w:hAnsiTheme="majorEastAsia" w:eastAsiaTheme="majorEastAsia"/>
                <w:szCs w:val="21"/>
              </w:rPr>
            </w:pPr>
          </w:p>
        </w:tc>
        <w:tc>
          <w:tcPr>
            <w:tcW w:w="570" w:type="dxa"/>
            <w:vMerge w:val="continue"/>
            <w:vAlign w:val="center"/>
          </w:tcPr>
          <w:p>
            <w:pPr>
              <w:spacing w:line="240" w:lineRule="exact"/>
              <w:jc w:val="center"/>
              <w:rPr>
                <w:rFonts w:asciiTheme="majorEastAsia" w:hAnsiTheme="majorEastAsia" w:eastAsiaTheme="majorEastAsia"/>
                <w:szCs w:val="21"/>
              </w:rPr>
            </w:pPr>
          </w:p>
        </w:tc>
        <w:tc>
          <w:tcPr>
            <w:tcW w:w="703" w:type="dxa"/>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支付进度率（2分）</w:t>
            </w:r>
          </w:p>
        </w:tc>
        <w:tc>
          <w:tcPr>
            <w:tcW w:w="446" w:type="dxa"/>
            <w:tcMar>
              <w:top w:w="10" w:type="dxa"/>
              <w:left w:w="10" w:type="dxa"/>
              <w:bottom w:w="0" w:type="dxa"/>
              <w:right w:w="10" w:type="dxa"/>
            </w:tcMar>
            <w:vAlign w:val="center"/>
          </w:tcPr>
          <w:p>
            <w:pPr>
              <w:tabs>
                <w:tab w:val="left" w:pos="2604"/>
              </w:tabs>
              <w:spacing w:line="240" w:lineRule="exact"/>
              <w:jc w:val="center"/>
              <w:rPr>
                <w:rFonts w:hint="eastAsia" w:asciiTheme="majorEastAsia" w:hAnsiTheme="majorEastAsia" w:eastAsiaTheme="majorEastAsia"/>
                <w:szCs w:val="21"/>
                <w:lang w:val="en-US" w:eastAsia="zh-CN"/>
              </w:rPr>
            </w:pPr>
            <w:r>
              <w:rPr>
                <w:rFonts w:hint="eastAsia" w:asciiTheme="majorEastAsia" w:hAnsiTheme="majorEastAsia" w:eastAsiaTheme="majorEastAsia"/>
                <w:szCs w:val="21"/>
                <w:lang w:val="en-US" w:eastAsia="zh-CN"/>
              </w:rPr>
              <w:t>1</w:t>
            </w:r>
          </w:p>
        </w:tc>
        <w:tc>
          <w:tcPr>
            <w:tcW w:w="2976" w:type="dxa"/>
            <w:shd w:val="clear" w:color="auto" w:fill="auto"/>
            <w:tcMar>
              <w:top w:w="10" w:type="dxa"/>
              <w:left w:w="10" w:type="dxa"/>
              <w:bottom w:w="0" w:type="dxa"/>
              <w:right w:w="10" w:type="dxa"/>
            </w:tcMar>
            <w:vAlign w:val="center"/>
          </w:tcPr>
          <w:p>
            <w:pPr>
              <w:tabs>
                <w:tab w:val="left" w:pos="2604"/>
              </w:tabs>
              <w:spacing w:line="240" w:lineRule="exact"/>
              <w:rPr>
                <w:rFonts w:asciiTheme="majorEastAsia" w:hAnsiTheme="majorEastAsia" w:eastAsiaTheme="majorEastAsia"/>
                <w:szCs w:val="21"/>
              </w:rPr>
            </w:pPr>
            <w:r>
              <w:rPr>
                <w:rFonts w:hint="eastAsia" w:asciiTheme="majorEastAsia" w:hAnsiTheme="majorEastAsia" w:eastAsiaTheme="majorEastAsia"/>
                <w:szCs w:val="21"/>
              </w:rPr>
              <w:t>部门实际支付进度与既定支付进度的比率，用以反映和考核部门预算执行的及时性和均衡性程度。</w:t>
            </w:r>
          </w:p>
        </w:tc>
        <w:tc>
          <w:tcPr>
            <w:tcW w:w="3721" w:type="dxa"/>
            <w:shd w:val="clear" w:color="auto" w:fill="auto"/>
            <w:tcMar>
              <w:top w:w="10" w:type="dxa"/>
              <w:left w:w="10" w:type="dxa"/>
              <w:bottom w:w="0" w:type="dxa"/>
              <w:right w:w="10" w:type="dxa"/>
            </w:tcMar>
            <w:vAlign w:val="center"/>
          </w:tcPr>
          <w:p>
            <w:pPr>
              <w:spacing w:line="240" w:lineRule="exact"/>
              <w:rPr>
                <w:rFonts w:asciiTheme="majorEastAsia" w:hAnsiTheme="majorEastAsia" w:eastAsiaTheme="majorEastAsia"/>
                <w:szCs w:val="21"/>
              </w:rPr>
            </w:pPr>
            <w:r>
              <w:rPr>
                <w:rFonts w:hint="eastAsia" w:asciiTheme="majorEastAsia" w:hAnsiTheme="majorEastAsia" w:eastAsiaTheme="majorEastAsia"/>
                <w:szCs w:val="21"/>
              </w:rPr>
              <w:t>支付进度率=（实际支付进度/既定支付进度）×100%。完成年终进度的计1分，按季度完成预算进度的计1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547" w:type="dxa"/>
            <w:vMerge w:val="continue"/>
            <w:shd w:val="clear" w:color="auto" w:fill="auto"/>
            <w:tcMar>
              <w:top w:w="10" w:type="dxa"/>
              <w:left w:w="10" w:type="dxa"/>
              <w:bottom w:w="0" w:type="dxa"/>
              <w:right w:w="10" w:type="dxa"/>
            </w:tcMar>
            <w:textDirection w:val="tbRlV"/>
            <w:vAlign w:val="center"/>
          </w:tcPr>
          <w:p>
            <w:pPr>
              <w:spacing w:line="240" w:lineRule="exact"/>
              <w:jc w:val="center"/>
              <w:rPr>
                <w:rFonts w:asciiTheme="majorEastAsia" w:hAnsiTheme="majorEastAsia" w:eastAsiaTheme="majorEastAsia"/>
                <w:szCs w:val="21"/>
              </w:rPr>
            </w:pPr>
          </w:p>
        </w:tc>
        <w:tc>
          <w:tcPr>
            <w:tcW w:w="570" w:type="dxa"/>
            <w:vMerge w:val="continue"/>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p>
        </w:tc>
        <w:tc>
          <w:tcPr>
            <w:tcW w:w="703" w:type="dxa"/>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结转结余控制率（4分）</w:t>
            </w:r>
          </w:p>
        </w:tc>
        <w:tc>
          <w:tcPr>
            <w:tcW w:w="446" w:type="dxa"/>
            <w:tcMar>
              <w:top w:w="10" w:type="dxa"/>
              <w:left w:w="10" w:type="dxa"/>
              <w:bottom w:w="0" w:type="dxa"/>
              <w:right w:w="10" w:type="dxa"/>
            </w:tcMar>
            <w:vAlign w:val="center"/>
          </w:tcPr>
          <w:p>
            <w:pPr>
              <w:tabs>
                <w:tab w:val="left" w:pos="2604"/>
              </w:tabs>
              <w:spacing w:line="240" w:lineRule="exact"/>
              <w:jc w:val="center"/>
              <w:rPr>
                <w:rFonts w:hint="eastAsia" w:asciiTheme="majorEastAsia" w:hAnsiTheme="majorEastAsia" w:eastAsiaTheme="majorEastAsia"/>
                <w:szCs w:val="21"/>
                <w:lang w:val="en-US" w:eastAsia="zh-CN"/>
              </w:rPr>
            </w:pPr>
            <w:r>
              <w:rPr>
                <w:rFonts w:hint="eastAsia" w:asciiTheme="majorEastAsia" w:hAnsiTheme="majorEastAsia" w:eastAsiaTheme="majorEastAsia"/>
                <w:szCs w:val="21"/>
                <w:lang w:val="en-US" w:eastAsia="zh-CN"/>
              </w:rPr>
              <w:t>3</w:t>
            </w:r>
          </w:p>
        </w:tc>
        <w:tc>
          <w:tcPr>
            <w:tcW w:w="2976" w:type="dxa"/>
            <w:shd w:val="clear" w:color="auto" w:fill="auto"/>
            <w:tcMar>
              <w:top w:w="10" w:type="dxa"/>
              <w:left w:w="10" w:type="dxa"/>
              <w:bottom w:w="0" w:type="dxa"/>
              <w:right w:w="10" w:type="dxa"/>
            </w:tcMar>
            <w:vAlign w:val="center"/>
          </w:tcPr>
          <w:p>
            <w:pPr>
              <w:tabs>
                <w:tab w:val="left" w:pos="2604"/>
              </w:tabs>
              <w:spacing w:line="240" w:lineRule="exact"/>
              <w:rPr>
                <w:rFonts w:asciiTheme="majorEastAsia" w:hAnsiTheme="majorEastAsia" w:eastAsiaTheme="majorEastAsia"/>
                <w:szCs w:val="21"/>
              </w:rPr>
            </w:pPr>
            <w:r>
              <w:rPr>
                <w:rFonts w:hint="eastAsia" w:asciiTheme="majorEastAsia" w:hAnsiTheme="majorEastAsia" w:eastAsiaTheme="majorEastAsia"/>
                <w:szCs w:val="21"/>
              </w:rPr>
              <w:t>部门本年度结转结余总额与上年结转结余总额增减比例，用以反映和考核部门对存量资金的实际控制程度。</w:t>
            </w:r>
          </w:p>
        </w:tc>
        <w:tc>
          <w:tcPr>
            <w:tcW w:w="3721" w:type="dxa"/>
            <w:shd w:val="clear" w:color="auto" w:fill="auto"/>
            <w:tcMar>
              <w:top w:w="10" w:type="dxa"/>
              <w:left w:w="10" w:type="dxa"/>
              <w:bottom w:w="0" w:type="dxa"/>
              <w:right w:w="10" w:type="dxa"/>
            </w:tcMar>
            <w:vAlign w:val="center"/>
          </w:tcPr>
          <w:p>
            <w:pPr>
              <w:spacing w:line="240" w:lineRule="exact"/>
              <w:rPr>
                <w:rFonts w:asciiTheme="majorEastAsia" w:hAnsiTheme="majorEastAsia" w:eastAsiaTheme="majorEastAsia"/>
                <w:szCs w:val="21"/>
              </w:rPr>
            </w:pPr>
            <w:r>
              <w:rPr>
                <w:rFonts w:hint="eastAsia" w:asciiTheme="majorEastAsia" w:hAnsiTheme="majorEastAsia" w:eastAsiaTheme="majorEastAsia"/>
                <w:szCs w:val="21"/>
              </w:rPr>
              <w:t>结转结余控制率=（本年结转结余总额-上年结转结余总额）/上年结转结余总额×100%。低于15%的计4分，每超过5个百分点扣1分，扣完为止。结转结余总额：部门本年度的结转资金与结余资金之和（以决算数为准）。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Theme="majorEastAsia" w:hAnsiTheme="majorEastAsia" w:eastAsiaTheme="majorEastAsia"/>
                <w:szCs w:val="21"/>
              </w:rPr>
            </w:pPr>
          </w:p>
        </w:tc>
        <w:tc>
          <w:tcPr>
            <w:tcW w:w="570" w:type="dxa"/>
            <w:vMerge w:val="continue"/>
            <w:vAlign w:val="center"/>
          </w:tcPr>
          <w:p>
            <w:pPr>
              <w:spacing w:line="240" w:lineRule="exact"/>
              <w:jc w:val="center"/>
              <w:rPr>
                <w:rFonts w:asciiTheme="majorEastAsia" w:hAnsiTheme="majorEastAsia" w:eastAsiaTheme="majorEastAsia"/>
                <w:szCs w:val="21"/>
              </w:rPr>
            </w:pPr>
          </w:p>
        </w:tc>
        <w:tc>
          <w:tcPr>
            <w:tcW w:w="703" w:type="dxa"/>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公用经费</w:t>
            </w:r>
          </w:p>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控制率（2分）</w:t>
            </w:r>
          </w:p>
        </w:tc>
        <w:tc>
          <w:tcPr>
            <w:tcW w:w="446" w:type="dxa"/>
            <w:tcMar>
              <w:top w:w="10" w:type="dxa"/>
              <w:left w:w="10" w:type="dxa"/>
              <w:bottom w:w="0" w:type="dxa"/>
              <w:right w:w="10" w:type="dxa"/>
            </w:tcMar>
            <w:vAlign w:val="center"/>
          </w:tcPr>
          <w:p>
            <w:pPr>
              <w:tabs>
                <w:tab w:val="left" w:pos="2604"/>
              </w:tabs>
              <w:spacing w:line="240" w:lineRule="exact"/>
              <w:jc w:val="center"/>
              <w:rPr>
                <w:rFonts w:hint="eastAsia" w:asciiTheme="majorEastAsia" w:hAnsiTheme="majorEastAsia" w:eastAsiaTheme="majorEastAsia"/>
                <w:szCs w:val="21"/>
                <w:lang w:val="en-US" w:eastAsia="zh-CN"/>
              </w:rPr>
            </w:pPr>
            <w:r>
              <w:rPr>
                <w:rFonts w:hint="eastAsia" w:asciiTheme="majorEastAsia" w:hAnsiTheme="majorEastAsia" w:eastAsiaTheme="majorEastAsia"/>
                <w:szCs w:val="21"/>
                <w:lang w:val="en-US" w:eastAsia="zh-CN"/>
              </w:rPr>
              <w:t>2</w:t>
            </w:r>
          </w:p>
        </w:tc>
        <w:tc>
          <w:tcPr>
            <w:tcW w:w="2976" w:type="dxa"/>
            <w:shd w:val="clear" w:color="auto" w:fill="auto"/>
            <w:tcMar>
              <w:top w:w="10" w:type="dxa"/>
              <w:left w:w="10" w:type="dxa"/>
              <w:bottom w:w="0" w:type="dxa"/>
              <w:right w:w="10" w:type="dxa"/>
            </w:tcMar>
            <w:vAlign w:val="center"/>
          </w:tcPr>
          <w:p>
            <w:pPr>
              <w:tabs>
                <w:tab w:val="left" w:pos="2604"/>
              </w:tabs>
              <w:spacing w:line="240" w:lineRule="exact"/>
              <w:rPr>
                <w:rFonts w:asciiTheme="majorEastAsia" w:hAnsiTheme="majorEastAsia" w:eastAsiaTheme="majorEastAsia"/>
                <w:szCs w:val="21"/>
              </w:rPr>
            </w:pPr>
            <w:r>
              <w:rPr>
                <w:rFonts w:hint="eastAsia" w:asciiTheme="majorEastAsia" w:hAnsiTheme="majorEastAsia" w:eastAsiaTheme="majorEastAsia"/>
                <w:szCs w:val="21"/>
              </w:rPr>
              <w:t>部门本年度实际支出的公用经费总额与预算安排的公用经费总额的比率，用以反映和考核部门对机构运转成本的实际控制程度。</w:t>
            </w:r>
          </w:p>
        </w:tc>
        <w:tc>
          <w:tcPr>
            <w:tcW w:w="3721" w:type="dxa"/>
            <w:shd w:val="clear" w:color="auto" w:fill="auto"/>
            <w:tcMar>
              <w:top w:w="10" w:type="dxa"/>
              <w:left w:w="10" w:type="dxa"/>
              <w:bottom w:w="0" w:type="dxa"/>
              <w:right w:w="10" w:type="dxa"/>
            </w:tcMar>
            <w:vAlign w:val="center"/>
          </w:tcPr>
          <w:p>
            <w:pPr>
              <w:spacing w:line="240" w:lineRule="exact"/>
              <w:rPr>
                <w:rFonts w:asciiTheme="majorEastAsia" w:hAnsiTheme="majorEastAsia" w:eastAsiaTheme="majorEastAsia"/>
                <w:szCs w:val="21"/>
              </w:rPr>
            </w:pPr>
            <w:r>
              <w:rPr>
                <w:rFonts w:hint="eastAsia" w:asciiTheme="majorEastAsia" w:hAnsiTheme="majorEastAsia" w:eastAsiaTheme="majorEastAsia"/>
                <w:szCs w:val="21"/>
              </w:rPr>
              <w:t>公用经费控制率=（实际支出公用经费总额/预算安排公用经费总额）×100%。为100%的计2分，每超过1个百分点扣0.1分，扣完为止。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547" w:type="dxa"/>
            <w:vMerge w:val="continue"/>
            <w:shd w:val="clear" w:color="auto" w:fill="auto"/>
            <w:vAlign w:val="center"/>
          </w:tcPr>
          <w:p>
            <w:pPr>
              <w:spacing w:line="240" w:lineRule="exact"/>
              <w:jc w:val="center"/>
              <w:rPr>
                <w:rFonts w:asciiTheme="majorEastAsia" w:hAnsiTheme="majorEastAsia" w:eastAsiaTheme="majorEastAsia"/>
                <w:szCs w:val="21"/>
              </w:rPr>
            </w:pPr>
          </w:p>
        </w:tc>
        <w:tc>
          <w:tcPr>
            <w:tcW w:w="570" w:type="dxa"/>
            <w:vMerge w:val="continue"/>
            <w:vAlign w:val="center"/>
          </w:tcPr>
          <w:p>
            <w:pPr>
              <w:spacing w:line="240" w:lineRule="exact"/>
              <w:jc w:val="center"/>
              <w:rPr>
                <w:rFonts w:asciiTheme="majorEastAsia" w:hAnsiTheme="majorEastAsia" w:eastAsiaTheme="majorEastAsia"/>
                <w:szCs w:val="21"/>
              </w:rPr>
            </w:pPr>
          </w:p>
        </w:tc>
        <w:tc>
          <w:tcPr>
            <w:tcW w:w="703" w:type="dxa"/>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“三公经费”控制率（2分）</w:t>
            </w:r>
          </w:p>
        </w:tc>
        <w:tc>
          <w:tcPr>
            <w:tcW w:w="446" w:type="dxa"/>
            <w:tcMar>
              <w:top w:w="10" w:type="dxa"/>
              <w:left w:w="10" w:type="dxa"/>
              <w:bottom w:w="0" w:type="dxa"/>
              <w:right w:w="10" w:type="dxa"/>
            </w:tcMar>
            <w:vAlign w:val="center"/>
          </w:tcPr>
          <w:p>
            <w:pPr>
              <w:tabs>
                <w:tab w:val="left" w:pos="2604"/>
              </w:tabs>
              <w:spacing w:line="240" w:lineRule="exact"/>
              <w:jc w:val="center"/>
              <w:rPr>
                <w:rFonts w:hint="eastAsia" w:asciiTheme="majorEastAsia" w:hAnsiTheme="majorEastAsia" w:eastAsiaTheme="majorEastAsia"/>
                <w:szCs w:val="21"/>
                <w:lang w:val="en-US" w:eastAsia="zh-CN"/>
              </w:rPr>
            </w:pPr>
            <w:r>
              <w:rPr>
                <w:rFonts w:hint="eastAsia" w:asciiTheme="majorEastAsia" w:hAnsiTheme="majorEastAsia" w:eastAsiaTheme="majorEastAsia"/>
                <w:szCs w:val="21"/>
                <w:lang w:val="en-US" w:eastAsia="zh-CN"/>
              </w:rPr>
              <w:t>2</w:t>
            </w:r>
          </w:p>
        </w:tc>
        <w:tc>
          <w:tcPr>
            <w:tcW w:w="2976" w:type="dxa"/>
            <w:shd w:val="clear" w:color="auto" w:fill="auto"/>
            <w:tcMar>
              <w:top w:w="10" w:type="dxa"/>
              <w:left w:w="10" w:type="dxa"/>
              <w:bottom w:w="0" w:type="dxa"/>
              <w:right w:w="10" w:type="dxa"/>
            </w:tcMar>
            <w:vAlign w:val="center"/>
          </w:tcPr>
          <w:p>
            <w:pPr>
              <w:tabs>
                <w:tab w:val="left" w:pos="2604"/>
              </w:tabs>
              <w:spacing w:line="240" w:lineRule="exact"/>
              <w:rPr>
                <w:rFonts w:asciiTheme="majorEastAsia" w:hAnsiTheme="majorEastAsia" w:eastAsiaTheme="majorEastAsia"/>
                <w:szCs w:val="21"/>
              </w:rPr>
            </w:pPr>
            <w:r>
              <w:rPr>
                <w:rFonts w:hint="eastAsia" w:asciiTheme="majorEastAsia" w:hAnsiTheme="majorEastAsia" w:eastAsiaTheme="majorEastAsia"/>
                <w:szCs w:val="21"/>
              </w:rPr>
              <w:t>部门本年度“三公经费”实际支出数与预算安排数的比率，用以反映和考核部门对“三公经费”的实际控制程度。</w:t>
            </w:r>
          </w:p>
        </w:tc>
        <w:tc>
          <w:tcPr>
            <w:tcW w:w="3721" w:type="dxa"/>
            <w:shd w:val="clear" w:color="auto" w:fill="auto"/>
            <w:tcMar>
              <w:top w:w="10" w:type="dxa"/>
              <w:left w:w="10" w:type="dxa"/>
              <w:bottom w:w="0" w:type="dxa"/>
              <w:right w:w="10" w:type="dxa"/>
            </w:tcMar>
            <w:vAlign w:val="center"/>
          </w:tcPr>
          <w:p>
            <w:pPr>
              <w:spacing w:line="240" w:lineRule="exact"/>
              <w:rPr>
                <w:rFonts w:asciiTheme="majorEastAsia" w:hAnsiTheme="majorEastAsia" w:eastAsiaTheme="majorEastAsia"/>
                <w:szCs w:val="21"/>
              </w:rPr>
            </w:pPr>
            <w:r>
              <w:rPr>
                <w:rFonts w:hint="eastAsia" w:asciiTheme="majorEastAsia" w:hAnsiTheme="majorEastAsia" w:eastAsiaTheme="majorEastAsia"/>
                <w:szCs w:val="21"/>
              </w:rPr>
              <w:t>“三公经费”控制率=（“三公经费”实际支出数/“三公经费”预算安排数）×100%。为100%的计2分，每超过1个百分点扣0.5分，扣完为止。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Theme="majorEastAsia" w:hAnsiTheme="majorEastAsia" w:eastAsiaTheme="majorEastAsia"/>
                <w:szCs w:val="21"/>
              </w:rPr>
            </w:pPr>
          </w:p>
        </w:tc>
        <w:tc>
          <w:tcPr>
            <w:tcW w:w="570" w:type="dxa"/>
            <w:vMerge w:val="continue"/>
            <w:vAlign w:val="center"/>
          </w:tcPr>
          <w:p>
            <w:pPr>
              <w:spacing w:line="240" w:lineRule="exact"/>
              <w:jc w:val="center"/>
              <w:rPr>
                <w:rFonts w:asciiTheme="majorEastAsia" w:hAnsiTheme="majorEastAsia" w:eastAsiaTheme="majorEastAsia"/>
                <w:szCs w:val="21"/>
              </w:rPr>
            </w:pPr>
          </w:p>
        </w:tc>
        <w:tc>
          <w:tcPr>
            <w:tcW w:w="703" w:type="dxa"/>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政府采购</w:t>
            </w:r>
          </w:p>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执行率（4分）</w:t>
            </w:r>
          </w:p>
        </w:tc>
        <w:tc>
          <w:tcPr>
            <w:tcW w:w="446" w:type="dxa"/>
            <w:tcMar>
              <w:top w:w="10" w:type="dxa"/>
              <w:left w:w="10" w:type="dxa"/>
              <w:bottom w:w="0" w:type="dxa"/>
              <w:right w:w="10" w:type="dxa"/>
            </w:tcMar>
            <w:vAlign w:val="center"/>
          </w:tcPr>
          <w:p>
            <w:pPr>
              <w:tabs>
                <w:tab w:val="left" w:pos="2604"/>
              </w:tabs>
              <w:spacing w:line="240" w:lineRule="exact"/>
              <w:jc w:val="center"/>
              <w:rPr>
                <w:rFonts w:hint="eastAsia" w:asciiTheme="majorEastAsia" w:hAnsiTheme="majorEastAsia" w:eastAsiaTheme="majorEastAsia"/>
                <w:szCs w:val="21"/>
                <w:lang w:val="en-US" w:eastAsia="zh-CN"/>
              </w:rPr>
            </w:pPr>
            <w:r>
              <w:rPr>
                <w:rFonts w:hint="eastAsia" w:asciiTheme="majorEastAsia" w:hAnsiTheme="majorEastAsia" w:eastAsiaTheme="majorEastAsia"/>
                <w:szCs w:val="21"/>
                <w:lang w:val="en-US" w:eastAsia="zh-CN"/>
              </w:rPr>
              <w:t>4</w:t>
            </w:r>
          </w:p>
        </w:tc>
        <w:tc>
          <w:tcPr>
            <w:tcW w:w="2976" w:type="dxa"/>
            <w:shd w:val="clear" w:color="auto" w:fill="auto"/>
            <w:tcMar>
              <w:top w:w="10" w:type="dxa"/>
              <w:left w:w="10" w:type="dxa"/>
              <w:bottom w:w="0" w:type="dxa"/>
              <w:right w:w="10" w:type="dxa"/>
            </w:tcMar>
            <w:vAlign w:val="center"/>
          </w:tcPr>
          <w:p>
            <w:pPr>
              <w:tabs>
                <w:tab w:val="left" w:pos="2604"/>
              </w:tabs>
              <w:spacing w:line="240" w:lineRule="exact"/>
              <w:rPr>
                <w:rFonts w:asciiTheme="majorEastAsia" w:hAnsiTheme="majorEastAsia" w:eastAsiaTheme="majorEastAsia"/>
                <w:szCs w:val="21"/>
              </w:rPr>
            </w:pPr>
            <w:r>
              <w:rPr>
                <w:rFonts w:hint="eastAsia" w:asciiTheme="majorEastAsia" w:hAnsiTheme="majorEastAsia" w:eastAsiaTheme="majorEastAsia"/>
                <w:szCs w:val="21"/>
              </w:rPr>
              <w:t>部门本年度实际政府采购金额与年初政府采购预算的比率，用以反映和考核部门政府采购预算执行情况。</w:t>
            </w:r>
          </w:p>
        </w:tc>
        <w:tc>
          <w:tcPr>
            <w:tcW w:w="3721" w:type="dxa"/>
            <w:shd w:val="clear" w:color="auto" w:fill="auto"/>
            <w:tcMar>
              <w:top w:w="10" w:type="dxa"/>
              <w:left w:w="10" w:type="dxa"/>
              <w:bottom w:w="0" w:type="dxa"/>
              <w:right w:w="10" w:type="dxa"/>
            </w:tcMar>
            <w:vAlign w:val="center"/>
          </w:tcPr>
          <w:p>
            <w:pPr>
              <w:spacing w:line="240" w:lineRule="exact"/>
              <w:rPr>
                <w:rFonts w:asciiTheme="majorEastAsia" w:hAnsiTheme="majorEastAsia" w:eastAsiaTheme="majorEastAsia"/>
                <w:szCs w:val="21"/>
              </w:rPr>
            </w:pPr>
            <w:r>
              <w:rPr>
                <w:rFonts w:hint="eastAsia" w:asciiTheme="majorEastAsia" w:hAnsiTheme="majorEastAsia" w:eastAsiaTheme="majorEastAsia"/>
                <w:szCs w:val="21"/>
              </w:rPr>
              <w:t>政府采购执行率=（实际政府采购金额/政府采购预算数）×100%，为100%的计2分，每低于1个百分点扣0.5分，扣完为止；政府采购预算：采购机关根据事业发展计划和行政任务编制的、并经过规定程序批准的年度政府采购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Theme="majorEastAsia" w:hAnsiTheme="majorEastAsia" w:eastAsiaTheme="majorEastAsia"/>
                <w:szCs w:val="21"/>
              </w:rPr>
            </w:pPr>
          </w:p>
        </w:tc>
        <w:tc>
          <w:tcPr>
            <w:tcW w:w="570" w:type="dxa"/>
            <w:vMerge w:val="restart"/>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预算</w:t>
            </w:r>
          </w:p>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管理</w:t>
            </w:r>
          </w:p>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（5分）</w:t>
            </w:r>
          </w:p>
        </w:tc>
        <w:tc>
          <w:tcPr>
            <w:tcW w:w="703" w:type="dxa"/>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管理制度</w:t>
            </w:r>
          </w:p>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健全性（2分）</w:t>
            </w:r>
          </w:p>
        </w:tc>
        <w:tc>
          <w:tcPr>
            <w:tcW w:w="446" w:type="dxa"/>
            <w:tcMar>
              <w:top w:w="10" w:type="dxa"/>
              <w:left w:w="10" w:type="dxa"/>
              <w:bottom w:w="0" w:type="dxa"/>
              <w:right w:w="10" w:type="dxa"/>
            </w:tcMar>
            <w:vAlign w:val="center"/>
          </w:tcPr>
          <w:p>
            <w:pPr>
              <w:tabs>
                <w:tab w:val="left" w:pos="2604"/>
              </w:tabs>
              <w:spacing w:line="240" w:lineRule="exact"/>
              <w:jc w:val="center"/>
              <w:rPr>
                <w:rFonts w:hint="eastAsia" w:asciiTheme="majorEastAsia" w:hAnsiTheme="majorEastAsia" w:eastAsiaTheme="majorEastAsia"/>
                <w:szCs w:val="21"/>
                <w:lang w:val="en-US" w:eastAsia="zh-CN"/>
              </w:rPr>
            </w:pPr>
            <w:r>
              <w:rPr>
                <w:rFonts w:hint="eastAsia" w:asciiTheme="majorEastAsia" w:hAnsiTheme="majorEastAsia" w:eastAsiaTheme="majorEastAsia"/>
                <w:szCs w:val="21"/>
                <w:lang w:val="en-US" w:eastAsia="zh-CN"/>
              </w:rPr>
              <w:t>2</w:t>
            </w:r>
          </w:p>
        </w:tc>
        <w:tc>
          <w:tcPr>
            <w:tcW w:w="2976" w:type="dxa"/>
            <w:shd w:val="clear" w:color="auto" w:fill="auto"/>
            <w:tcMar>
              <w:top w:w="10" w:type="dxa"/>
              <w:left w:w="10" w:type="dxa"/>
              <w:bottom w:w="0" w:type="dxa"/>
              <w:right w:w="10" w:type="dxa"/>
            </w:tcMar>
            <w:vAlign w:val="center"/>
          </w:tcPr>
          <w:p>
            <w:pPr>
              <w:tabs>
                <w:tab w:val="left" w:pos="2604"/>
              </w:tabs>
              <w:spacing w:line="240" w:lineRule="exact"/>
              <w:rPr>
                <w:rFonts w:asciiTheme="majorEastAsia" w:hAnsiTheme="majorEastAsia" w:eastAsiaTheme="majorEastAsia"/>
                <w:szCs w:val="21"/>
              </w:rPr>
            </w:pPr>
            <w:r>
              <w:rPr>
                <w:rFonts w:hint="eastAsia" w:asciiTheme="majorEastAsia" w:hAnsiTheme="majorEastAsia" w:eastAsiaTheme="majorEastAsia"/>
                <w:szCs w:val="21"/>
              </w:rPr>
              <w:t>部门为加强预算管理、规范财务行为而制定的管理制度是否健全完整，用以反映和考核部门预算管理制度对完成主要职责或促进事业发展的保障情况。</w:t>
            </w:r>
          </w:p>
        </w:tc>
        <w:tc>
          <w:tcPr>
            <w:tcW w:w="3721" w:type="dxa"/>
            <w:shd w:val="clear" w:color="auto" w:fill="auto"/>
            <w:tcMar>
              <w:top w:w="10" w:type="dxa"/>
              <w:left w:w="10" w:type="dxa"/>
              <w:bottom w:w="0" w:type="dxa"/>
              <w:right w:w="10" w:type="dxa"/>
            </w:tcMar>
            <w:vAlign w:val="center"/>
          </w:tcPr>
          <w:p>
            <w:pPr>
              <w:spacing w:line="240" w:lineRule="exact"/>
              <w:rPr>
                <w:rFonts w:asciiTheme="majorEastAsia" w:hAnsiTheme="majorEastAsia" w:eastAsiaTheme="majorEastAsia"/>
                <w:szCs w:val="21"/>
              </w:rPr>
            </w:pPr>
            <w:r>
              <w:rPr>
                <w:rFonts w:hint="eastAsia" w:asciiTheme="majorEastAsia" w:hAnsiTheme="majorEastAsia" w:eastAsiaTheme="majorEastAsia"/>
                <w:szCs w:val="21"/>
              </w:rPr>
              <w:t>已制定或具有预算资金管理办法、内部财务管理制度、会计核算制度等管理制度计1分；相关管理制度合法、合规、完整计0.5分；相关管理制度得到有效执行计0.5分。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547" w:type="dxa"/>
            <w:vMerge w:val="continue"/>
            <w:shd w:val="clear" w:color="auto" w:fill="auto"/>
            <w:vAlign w:val="center"/>
          </w:tcPr>
          <w:p>
            <w:pPr>
              <w:spacing w:line="240" w:lineRule="exact"/>
              <w:jc w:val="center"/>
              <w:rPr>
                <w:rFonts w:asciiTheme="majorEastAsia" w:hAnsiTheme="majorEastAsia" w:eastAsiaTheme="majorEastAsia"/>
                <w:szCs w:val="21"/>
              </w:rPr>
            </w:pPr>
          </w:p>
        </w:tc>
        <w:tc>
          <w:tcPr>
            <w:tcW w:w="570" w:type="dxa"/>
            <w:vMerge w:val="continue"/>
            <w:vAlign w:val="center"/>
          </w:tcPr>
          <w:p>
            <w:pPr>
              <w:spacing w:line="240" w:lineRule="exact"/>
              <w:jc w:val="center"/>
              <w:rPr>
                <w:rFonts w:asciiTheme="majorEastAsia" w:hAnsiTheme="majorEastAsia" w:eastAsiaTheme="majorEastAsia"/>
                <w:szCs w:val="21"/>
              </w:rPr>
            </w:pPr>
          </w:p>
        </w:tc>
        <w:tc>
          <w:tcPr>
            <w:tcW w:w="703" w:type="dxa"/>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资金使用</w:t>
            </w:r>
          </w:p>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合规性（1分）</w:t>
            </w:r>
          </w:p>
        </w:tc>
        <w:tc>
          <w:tcPr>
            <w:tcW w:w="446" w:type="dxa"/>
            <w:tcMar>
              <w:top w:w="10" w:type="dxa"/>
              <w:left w:w="10" w:type="dxa"/>
              <w:bottom w:w="0" w:type="dxa"/>
              <w:right w:w="10" w:type="dxa"/>
            </w:tcMar>
            <w:vAlign w:val="center"/>
          </w:tcPr>
          <w:p>
            <w:pPr>
              <w:tabs>
                <w:tab w:val="left" w:pos="2604"/>
              </w:tabs>
              <w:spacing w:line="240" w:lineRule="exact"/>
              <w:jc w:val="center"/>
              <w:rPr>
                <w:rFonts w:hint="eastAsia" w:asciiTheme="majorEastAsia" w:hAnsiTheme="majorEastAsia" w:eastAsiaTheme="majorEastAsia"/>
                <w:szCs w:val="21"/>
                <w:lang w:val="en-US" w:eastAsia="zh-CN"/>
              </w:rPr>
            </w:pPr>
            <w:r>
              <w:rPr>
                <w:rFonts w:hint="eastAsia" w:asciiTheme="majorEastAsia" w:hAnsiTheme="majorEastAsia" w:eastAsiaTheme="majorEastAsia"/>
                <w:szCs w:val="21"/>
                <w:lang w:val="en-US" w:eastAsia="zh-CN"/>
              </w:rPr>
              <w:t>1</w:t>
            </w:r>
          </w:p>
        </w:tc>
        <w:tc>
          <w:tcPr>
            <w:tcW w:w="2976" w:type="dxa"/>
            <w:shd w:val="clear" w:color="auto" w:fill="auto"/>
            <w:tcMar>
              <w:top w:w="10" w:type="dxa"/>
              <w:left w:w="10" w:type="dxa"/>
              <w:bottom w:w="0" w:type="dxa"/>
              <w:right w:w="10" w:type="dxa"/>
            </w:tcMar>
            <w:vAlign w:val="center"/>
          </w:tcPr>
          <w:p>
            <w:pPr>
              <w:tabs>
                <w:tab w:val="left" w:pos="2604"/>
              </w:tabs>
              <w:spacing w:line="240" w:lineRule="exact"/>
              <w:rPr>
                <w:rFonts w:asciiTheme="majorEastAsia" w:hAnsiTheme="majorEastAsia" w:eastAsiaTheme="majorEastAsia"/>
                <w:szCs w:val="21"/>
              </w:rPr>
            </w:pPr>
            <w:r>
              <w:rPr>
                <w:rFonts w:hint="eastAsia" w:asciiTheme="majorEastAsia" w:hAnsiTheme="majorEastAsia" w:eastAsiaTheme="majorEastAsia"/>
                <w:szCs w:val="21"/>
              </w:rPr>
              <w:t>部门使用预算资金是否符合相关的预算财务管理制度的规定，用以反映和考核部门预算资金的规范运行情况。</w:t>
            </w:r>
          </w:p>
        </w:tc>
        <w:tc>
          <w:tcPr>
            <w:tcW w:w="3721" w:type="dxa"/>
            <w:shd w:val="clear" w:color="auto" w:fill="auto"/>
            <w:tcMar>
              <w:top w:w="10" w:type="dxa"/>
              <w:left w:w="10" w:type="dxa"/>
              <w:bottom w:w="0" w:type="dxa"/>
              <w:right w:w="10" w:type="dxa"/>
            </w:tcMar>
            <w:vAlign w:val="center"/>
          </w:tcPr>
          <w:p>
            <w:pPr>
              <w:spacing w:line="240" w:lineRule="exact"/>
              <w:rPr>
                <w:rFonts w:asciiTheme="majorEastAsia" w:hAnsiTheme="majorEastAsia" w:eastAsiaTheme="majorEastAsia"/>
                <w:szCs w:val="21"/>
              </w:rPr>
            </w:pPr>
            <w:r>
              <w:rPr>
                <w:rFonts w:hint="eastAsia" w:asciiTheme="majorEastAsia" w:hAnsiTheme="majorEastAsia" w:eastAsiaTheme="majorEastAsia"/>
                <w:szCs w:val="21"/>
              </w:rPr>
              <w:t>①符合国家财经法规和财务管理制度规定以及有关专项资金管理办法的规定计0.2分；②资金的拨付有完整的审批程序和手续计0.2分；③项目的重大开支经过评估论证计0.2分；④符合部门预算批复的用途计0.2分；⑤不存在截留、挤占、挪用、虚列支出等情况计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Theme="majorEastAsia" w:hAnsiTheme="majorEastAsia" w:eastAsiaTheme="majorEastAsia"/>
                <w:szCs w:val="21"/>
              </w:rPr>
            </w:pPr>
          </w:p>
        </w:tc>
        <w:tc>
          <w:tcPr>
            <w:tcW w:w="570" w:type="dxa"/>
            <w:vMerge w:val="continue"/>
            <w:vAlign w:val="center"/>
          </w:tcPr>
          <w:p>
            <w:pPr>
              <w:spacing w:line="240" w:lineRule="exact"/>
              <w:jc w:val="center"/>
              <w:rPr>
                <w:rFonts w:asciiTheme="majorEastAsia" w:hAnsiTheme="majorEastAsia" w:eastAsiaTheme="majorEastAsia"/>
                <w:szCs w:val="21"/>
              </w:rPr>
            </w:pPr>
          </w:p>
        </w:tc>
        <w:tc>
          <w:tcPr>
            <w:tcW w:w="703" w:type="dxa"/>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预决算信</w:t>
            </w:r>
          </w:p>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息公开性（1分）</w:t>
            </w:r>
          </w:p>
        </w:tc>
        <w:tc>
          <w:tcPr>
            <w:tcW w:w="446" w:type="dxa"/>
            <w:tcMar>
              <w:top w:w="10" w:type="dxa"/>
              <w:left w:w="10" w:type="dxa"/>
              <w:bottom w:w="0" w:type="dxa"/>
              <w:right w:w="10" w:type="dxa"/>
            </w:tcMar>
            <w:vAlign w:val="center"/>
          </w:tcPr>
          <w:p>
            <w:pPr>
              <w:tabs>
                <w:tab w:val="left" w:pos="2604"/>
              </w:tabs>
              <w:spacing w:line="240" w:lineRule="exact"/>
              <w:jc w:val="center"/>
              <w:rPr>
                <w:rFonts w:hint="eastAsia" w:asciiTheme="majorEastAsia" w:hAnsiTheme="majorEastAsia" w:eastAsiaTheme="majorEastAsia"/>
                <w:szCs w:val="21"/>
                <w:lang w:val="en-US" w:eastAsia="zh-CN"/>
              </w:rPr>
            </w:pPr>
            <w:r>
              <w:rPr>
                <w:rFonts w:hint="eastAsia" w:asciiTheme="majorEastAsia" w:hAnsiTheme="majorEastAsia" w:eastAsiaTheme="majorEastAsia"/>
                <w:szCs w:val="21"/>
                <w:lang w:val="en-US" w:eastAsia="zh-CN"/>
              </w:rPr>
              <w:t>1</w:t>
            </w:r>
          </w:p>
        </w:tc>
        <w:tc>
          <w:tcPr>
            <w:tcW w:w="2976" w:type="dxa"/>
            <w:shd w:val="clear" w:color="auto" w:fill="auto"/>
            <w:tcMar>
              <w:top w:w="10" w:type="dxa"/>
              <w:left w:w="10" w:type="dxa"/>
              <w:bottom w:w="0" w:type="dxa"/>
              <w:right w:w="10" w:type="dxa"/>
            </w:tcMar>
            <w:vAlign w:val="center"/>
          </w:tcPr>
          <w:p>
            <w:pPr>
              <w:tabs>
                <w:tab w:val="left" w:pos="2604"/>
              </w:tabs>
              <w:spacing w:line="240" w:lineRule="exact"/>
              <w:rPr>
                <w:rFonts w:asciiTheme="majorEastAsia" w:hAnsiTheme="majorEastAsia" w:eastAsiaTheme="majorEastAsia"/>
                <w:szCs w:val="21"/>
              </w:rPr>
            </w:pPr>
            <w:r>
              <w:rPr>
                <w:rFonts w:hint="eastAsia" w:asciiTheme="majorEastAsia" w:hAnsiTheme="majorEastAsia" w:eastAsiaTheme="majorEastAsia"/>
                <w:szCs w:val="21"/>
              </w:rPr>
              <w:t>部门是否按照政府信息公开有关规定公开相关预决算信息，用以反映和考核部门预决算管理的公开透明情况。</w:t>
            </w:r>
          </w:p>
        </w:tc>
        <w:tc>
          <w:tcPr>
            <w:tcW w:w="3721" w:type="dxa"/>
            <w:shd w:val="clear" w:color="auto" w:fill="auto"/>
            <w:tcMar>
              <w:top w:w="10" w:type="dxa"/>
              <w:left w:w="10" w:type="dxa"/>
              <w:bottom w:w="0" w:type="dxa"/>
              <w:right w:w="10" w:type="dxa"/>
            </w:tcMar>
            <w:vAlign w:val="center"/>
          </w:tcPr>
          <w:p>
            <w:pPr>
              <w:spacing w:line="240" w:lineRule="exact"/>
              <w:rPr>
                <w:rFonts w:asciiTheme="majorEastAsia" w:hAnsiTheme="majorEastAsia" w:eastAsiaTheme="majorEastAsia"/>
                <w:szCs w:val="21"/>
              </w:rPr>
            </w:pPr>
            <w:r>
              <w:rPr>
                <w:rFonts w:hint="eastAsia" w:asciiTheme="majorEastAsia" w:hAnsiTheme="majorEastAsia" w:eastAsiaTheme="majorEastAsia"/>
                <w:szCs w:val="21"/>
              </w:rPr>
              <w:t>①按规定内容公开预决算信息计0.5分；②按规定时限公开预决算信息计0.5分。预决算信息是指与部门预算、执行、决算、监督、绩效等管理相关的信息。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Theme="majorEastAsia" w:hAnsiTheme="majorEastAsia" w:eastAsiaTheme="majorEastAsia"/>
                <w:szCs w:val="21"/>
              </w:rPr>
            </w:pPr>
          </w:p>
        </w:tc>
        <w:tc>
          <w:tcPr>
            <w:tcW w:w="570" w:type="dxa"/>
            <w:vMerge w:val="continue"/>
            <w:vAlign w:val="center"/>
          </w:tcPr>
          <w:p>
            <w:pPr>
              <w:spacing w:line="240" w:lineRule="exact"/>
              <w:jc w:val="center"/>
              <w:rPr>
                <w:rFonts w:asciiTheme="majorEastAsia" w:hAnsiTheme="majorEastAsia" w:eastAsiaTheme="majorEastAsia"/>
                <w:szCs w:val="21"/>
              </w:rPr>
            </w:pPr>
          </w:p>
        </w:tc>
        <w:tc>
          <w:tcPr>
            <w:tcW w:w="703" w:type="dxa"/>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基础信息</w:t>
            </w:r>
          </w:p>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完善性（1分）</w:t>
            </w:r>
          </w:p>
        </w:tc>
        <w:tc>
          <w:tcPr>
            <w:tcW w:w="446" w:type="dxa"/>
            <w:tcMar>
              <w:top w:w="10" w:type="dxa"/>
              <w:left w:w="10" w:type="dxa"/>
              <w:bottom w:w="0" w:type="dxa"/>
              <w:right w:w="10" w:type="dxa"/>
            </w:tcMar>
            <w:vAlign w:val="center"/>
          </w:tcPr>
          <w:p>
            <w:pPr>
              <w:tabs>
                <w:tab w:val="left" w:pos="2604"/>
              </w:tabs>
              <w:spacing w:line="240" w:lineRule="exact"/>
              <w:jc w:val="center"/>
              <w:rPr>
                <w:rFonts w:hint="eastAsia" w:asciiTheme="majorEastAsia" w:hAnsiTheme="majorEastAsia" w:eastAsiaTheme="majorEastAsia"/>
                <w:szCs w:val="21"/>
                <w:lang w:val="en-US" w:eastAsia="zh-CN"/>
              </w:rPr>
            </w:pPr>
            <w:r>
              <w:rPr>
                <w:rFonts w:hint="eastAsia" w:asciiTheme="majorEastAsia" w:hAnsiTheme="majorEastAsia" w:eastAsiaTheme="majorEastAsia"/>
                <w:szCs w:val="21"/>
                <w:lang w:val="en-US" w:eastAsia="zh-CN"/>
              </w:rPr>
              <w:t>1</w:t>
            </w:r>
          </w:p>
        </w:tc>
        <w:tc>
          <w:tcPr>
            <w:tcW w:w="2976" w:type="dxa"/>
            <w:shd w:val="clear" w:color="auto" w:fill="auto"/>
            <w:tcMar>
              <w:top w:w="10" w:type="dxa"/>
              <w:left w:w="10" w:type="dxa"/>
              <w:bottom w:w="0" w:type="dxa"/>
              <w:right w:w="10" w:type="dxa"/>
            </w:tcMar>
            <w:vAlign w:val="center"/>
          </w:tcPr>
          <w:p>
            <w:pPr>
              <w:tabs>
                <w:tab w:val="left" w:pos="2604"/>
              </w:tabs>
              <w:spacing w:line="240" w:lineRule="exact"/>
              <w:rPr>
                <w:rFonts w:asciiTheme="majorEastAsia" w:hAnsiTheme="majorEastAsia" w:eastAsiaTheme="majorEastAsia"/>
                <w:szCs w:val="21"/>
              </w:rPr>
            </w:pPr>
            <w:r>
              <w:rPr>
                <w:rFonts w:hint="eastAsia" w:asciiTheme="majorEastAsia" w:hAnsiTheme="majorEastAsia" w:eastAsiaTheme="majorEastAsia"/>
                <w:szCs w:val="21"/>
              </w:rPr>
              <w:t>部门基础信息是否完善，用以反映和考核基础信息对预算管理工作的支撑情况。</w:t>
            </w:r>
          </w:p>
        </w:tc>
        <w:tc>
          <w:tcPr>
            <w:tcW w:w="3721" w:type="dxa"/>
            <w:shd w:val="clear" w:color="auto" w:fill="auto"/>
            <w:tcMar>
              <w:top w:w="10" w:type="dxa"/>
              <w:left w:w="10" w:type="dxa"/>
              <w:bottom w:w="0" w:type="dxa"/>
              <w:right w:w="10" w:type="dxa"/>
            </w:tcMar>
            <w:vAlign w:val="center"/>
          </w:tcPr>
          <w:p>
            <w:pPr>
              <w:spacing w:line="240" w:lineRule="exact"/>
              <w:rPr>
                <w:rFonts w:asciiTheme="majorEastAsia" w:hAnsiTheme="majorEastAsia" w:eastAsiaTheme="majorEastAsia"/>
                <w:szCs w:val="21"/>
              </w:rPr>
            </w:pPr>
            <w:r>
              <w:rPr>
                <w:rFonts w:hint="eastAsia" w:asciiTheme="majorEastAsia" w:hAnsiTheme="majorEastAsia" w:eastAsiaTheme="majorEastAsia"/>
                <w:szCs w:val="21"/>
              </w:rPr>
              <w:t>①基础数据信息和会计信息资料真实计0.4分；②基础数据信息和会计信息资料完整计0.3分；③基础数据信息和会计信息资料准确计0.3分。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547" w:type="dxa"/>
            <w:vMerge w:val="continue"/>
            <w:shd w:val="clear" w:color="auto" w:fill="auto"/>
            <w:tcMar>
              <w:top w:w="10" w:type="dxa"/>
              <w:left w:w="10" w:type="dxa"/>
              <w:bottom w:w="0" w:type="dxa"/>
              <w:right w:w="10" w:type="dxa"/>
            </w:tcMar>
            <w:textDirection w:val="tbRlV"/>
            <w:vAlign w:val="center"/>
          </w:tcPr>
          <w:p>
            <w:pPr>
              <w:spacing w:line="240" w:lineRule="exact"/>
              <w:jc w:val="center"/>
              <w:rPr>
                <w:rFonts w:asciiTheme="majorEastAsia" w:hAnsiTheme="majorEastAsia" w:eastAsiaTheme="majorEastAsia"/>
                <w:szCs w:val="21"/>
              </w:rPr>
            </w:pPr>
          </w:p>
        </w:tc>
        <w:tc>
          <w:tcPr>
            <w:tcW w:w="570" w:type="dxa"/>
            <w:vMerge w:val="restart"/>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资产</w:t>
            </w:r>
            <w:r>
              <w:rPr>
                <w:rFonts w:hint="eastAsia" w:asciiTheme="majorEastAsia" w:hAnsiTheme="majorEastAsia" w:eastAsiaTheme="majorEastAsia"/>
                <w:szCs w:val="21"/>
              </w:rPr>
              <w:br w:type="textWrapping"/>
            </w:r>
            <w:r>
              <w:rPr>
                <w:rFonts w:hint="eastAsia" w:asciiTheme="majorEastAsia" w:hAnsiTheme="majorEastAsia" w:eastAsiaTheme="majorEastAsia"/>
                <w:szCs w:val="21"/>
              </w:rPr>
              <w:t>管理</w:t>
            </w:r>
          </w:p>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（5分）</w:t>
            </w:r>
          </w:p>
        </w:tc>
        <w:tc>
          <w:tcPr>
            <w:tcW w:w="703" w:type="dxa"/>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管理制度</w:t>
            </w:r>
          </w:p>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健全性（2分）</w:t>
            </w:r>
          </w:p>
        </w:tc>
        <w:tc>
          <w:tcPr>
            <w:tcW w:w="446" w:type="dxa"/>
            <w:tcMar>
              <w:top w:w="10" w:type="dxa"/>
              <w:left w:w="10" w:type="dxa"/>
              <w:bottom w:w="0" w:type="dxa"/>
              <w:right w:w="10" w:type="dxa"/>
            </w:tcMar>
            <w:vAlign w:val="center"/>
          </w:tcPr>
          <w:p>
            <w:pPr>
              <w:tabs>
                <w:tab w:val="left" w:pos="2604"/>
              </w:tabs>
              <w:spacing w:line="240" w:lineRule="exact"/>
              <w:jc w:val="center"/>
              <w:rPr>
                <w:rFonts w:hint="eastAsia" w:asciiTheme="majorEastAsia" w:hAnsiTheme="majorEastAsia" w:eastAsiaTheme="majorEastAsia"/>
                <w:szCs w:val="21"/>
                <w:lang w:val="en-US" w:eastAsia="zh-CN"/>
              </w:rPr>
            </w:pPr>
            <w:r>
              <w:rPr>
                <w:rFonts w:hint="eastAsia" w:asciiTheme="majorEastAsia" w:hAnsiTheme="majorEastAsia" w:eastAsiaTheme="majorEastAsia"/>
                <w:szCs w:val="21"/>
                <w:lang w:val="en-US" w:eastAsia="zh-CN"/>
              </w:rPr>
              <w:t>2</w:t>
            </w:r>
          </w:p>
        </w:tc>
        <w:tc>
          <w:tcPr>
            <w:tcW w:w="2976" w:type="dxa"/>
            <w:shd w:val="clear" w:color="auto" w:fill="auto"/>
            <w:tcMar>
              <w:top w:w="10" w:type="dxa"/>
              <w:left w:w="10" w:type="dxa"/>
              <w:bottom w:w="0" w:type="dxa"/>
              <w:right w:w="10" w:type="dxa"/>
            </w:tcMar>
            <w:vAlign w:val="center"/>
          </w:tcPr>
          <w:p>
            <w:pPr>
              <w:tabs>
                <w:tab w:val="left" w:pos="2604"/>
              </w:tabs>
              <w:spacing w:line="240" w:lineRule="exact"/>
              <w:rPr>
                <w:rFonts w:asciiTheme="majorEastAsia" w:hAnsiTheme="majorEastAsia" w:eastAsiaTheme="majorEastAsia"/>
                <w:szCs w:val="21"/>
              </w:rPr>
            </w:pPr>
            <w:r>
              <w:rPr>
                <w:rFonts w:hint="eastAsia" w:asciiTheme="majorEastAsia" w:hAnsiTheme="majorEastAsia" w:eastAsiaTheme="majorEastAsia"/>
                <w:szCs w:val="21"/>
              </w:rPr>
              <w:t>部门为加强资产管理、规范资产管理行为而制定的管理制度是否健全完整，用以反映和考核部门资产管理制度对完成主要职责或促进社会发展的保障情况。</w:t>
            </w:r>
          </w:p>
        </w:tc>
        <w:tc>
          <w:tcPr>
            <w:tcW w:w="3721" w:type="dxa"/>
            <w:shd w:val="clear" w:color="auto" w:fill="auto"/>
            <w:tcMar>
              <w:top w:w="10" w:type="dxa"/>
              <w:left w:w="10" w:type="dxa"/>
              <w:bottom w:w="0" w:type="dxa"/>
              <w:right w:w="10" w:type="dxa"/>
            </w:tcMar>
            <w:vAlign w:val="center"/>
          </w:tcPr>
          <w:p>
            <w:pPr>
              <w:spacing w:line="240" w:lineRule="exact"/>
              <w:rPr>
                <w:rFonts w:asciiTheme="majorEastAsia" w:hAnsiTheme="majorEastAsia" w:eastAsiaTheme="majorEastAsia"/>
                <w:szCs w:val="21"/>
              </w:rPr>
            </w:pPr>
            <w:r>
              <w:rPr>
                <w:rFonts w:hint="eastAsia" w:asciiTheme="majorEastAsia" w:hAnsiTheme="majorEastAsia" w:eastAsiaTheme="majorEastAsia"/>
                <w:szCs w:val="21"/>
              </w:rPr>
              <w:t>①制定或具有资产管理制度计1分；②相关资金管理制度合法、合规、完整计0.5分；③相关资产管理制度得到有效执行计0.5分。</w:t>
            </w:r>
          </w:p>
        </w:tc>
      </w:tr>
      <w:tr>
        <w:tblPrEx>
          <w:tblLayout w:type="fixed"/>
          <w:tblCellMar>
            <w:top w:w="0" w:type="dxa"/>
            <w:left w:w="0" w:type="dxa"/>
            <w:bottom w:w="0" w:type="dxa"/>
            <w:right w:w="0" w:type="dxa"/>
          </w:tblCellMar>
        </w:tblPrEx>
        <w:trPr>
          <w:trHeight w:val="567" w:hRule="atLeast"/>
        </w:trPr>
        <w:tc>
          <w:tcPr>
            <w:tcW w:w="547" w:type="dxa"/>
            <w:vMerge w:val="continue"/>
            <w:shd w:val="clear" w:color="auto" w:fill="auto"/>
            <w:vAlign w:val="center"/>
          </w:tcPr>
          <w:p>
            <w:pPr>
              <w:spacing w:line="240" w:lineRule="exact"/>
              <w:jc w:val="center"/>
              <w:rPr>
                <w:rFonts w:asciiTheme="majorEastAsia" w:hAnsiTheme="majorEastAsia" w:eastAsiaTheme="majorEastAsia"/>
                <w:szCs w:val="21"/>
              </w:rPr>
            </w:pPr>
          </w:p>
        </w:tc>
        <w:tc>
          <w:tcPr>
            <w:tcW w:w="570" w:type="dxa"/>
            <w:vMerge w:val="continue"/>
            <w:shd w:val="clear" w:color="auto" w:fill="auto"/>
            <w:vAlign w:val="center"/>
          </w:tcPr>
          <w:p>
            <w:pPr>
              <w:spacing w:line="240" w:lineRule="exact"/>
              <w:jc w:val="center"/>
              <w:rPr>
                <w:rFonts w:asciiTheme="majorEastAsia" w:hAnsiTheme="majorEastAsia" w:eastAsiaTheme="majorEastAsia"/>
                <w:szCs w:val="21"/>
              </w:rPr>
            </w:pPr>
          </w:p>
        </w:tc>
        <w:tc>
          <w:tcPr>
            <w:tcW w:w="703" w:type="dxa"/>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资产管理</w:t>
            </w:r>
          </w:p>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安全性（2分）</w:t>
            </w:r>
          </w:p>
        </w:tc>
        <w:tc>
          <w:tcPr>
            <w:tcW w:w="446" w:type="dxa"/>
            <w:tcMar>
              <w:top w:w="10" w:type="dxa"/>
              <w:left w:w="10" w:type="dxa"/>
              <w:bottom w:w="0" w:type="dxa"/>
              <w:right w:w="10" w:type="dxa"/>
            </w:tcMar>
            <w:vAlign w:val="center"/>
          </w:tcPr>
          <w:p>
            <w:pPr>
              <w:tabs>
                <w:tab w:val="left" w:pos="761"/>
                <w:tab w:val="left" w:pos="2604"/>
              </w:tabs>
              <w:spacing w:line="240" w:lineRule="exact"/>
              <w:jc w:val="center"/>
              <w:rPr>
                <w:rFonts w:hint="eastAsia" w:asciiTheme="majorEastAsia" w:hAnsiTheme="majorEastAsia" w:eastAsiaTheme="majorEastAsia"/>
                <w:szCs w:val="21"/>
                <w:lang w:val="en-US" w:eastAsia="zh-CN"/>
              </w:rPr>
            </w:pPr>
            <w:r>
              <w:rPr>
                <w:rFonts w:hint="eastAsia" w:asciiTheme="majorEastAsia" w:hAnsiTheme="majorEastAsia" w:eastAsiaTheme="majorEastAsia"/>
                <w:szCs w:val="21"/>
                <w:lang w:val="en-US" w:eastAsia="zh-CN"/>
              </w:rPr>
              <w:t>2</w:t>
            </w:r>
          </w:p>
        </w:tc>
        <w:tc>
          <w:tcPr>
            <w:tcW w:w="2976" w:type="dxa"/>
            <w:shd w:val="clear" w:color="auto" w:fill="auto"/>
            <w:tcMar>
              <w:top w:w="10" w:type="dxa"/>
              <w:left w:w="10" w:type="dxa"/>
              <w:bottom w:w="0" w:type="dxa"/>
              <w:right w:w="10" w:type="dxa"/>
            </w:tcMar>
            <w:vAlign w:val="center"/>
          </w:tcPr>
          <w:p>
            <w:pPr>
              <w:tabs>
                <w:tab w:val="left" w:pos="761"/>
                <w:tab w:val="left" w:pos="2604"/>
              </w:tabs>
              <w:spacing w:line="240" w:lineRule="exact"/>
              <w:rPr>
                <w:rFonts w:asciiTheme="majorEastAsia" w:hAnsiTheme="majorEastAsia" w:eastAsiaTheme="majorEastAsia"/>
                <w:szCs w:val="21"/>
              </w:rPr>
            </w:pPr>
            <w:r>
              <w:rPr>
                <w:rFonts w:hint="eastAsia" w:asciiTheme="majorEastAsia" w:hAnsiTheme="majorEastAsia" w:eastAsiaTheme="majorEastAsia"/>
                <w:szCs w:val="21"/>
              </w:rPr>
              <w:t>部门的资产是否保存完整、使用合规、配置合理、处置规范、收入及时足额上缴，用以反映和考核部门资产安全运行情况。</w:t>
            </w:r>
          </w:p>
        </w:tc>
        <w:tc>
          <w:tcPr>
            <w:tcW w:w="3721" w:type="dxa"/>
            <w:shd w:val="clear" w:color="auto" w:fill="auto"/>
            <w:tcMar>
              <w:top w:w="10" w:type="dxa"/>
              <w:left w:w="10" w:type="dxa"/>
              <w:bottom w:w="0" w:type="dxa"/>
              <w:right w:w="10" w:type="dxa"/>
            </w:tcMar>
            <w:vAlign w:val="center"/>
          </w:tcPr>
          <w:p>
            <w:pPr>
              <w:spacing w:line="240" w:lineRule="exact"/>
              <w:rPr>
                <w:rFonts w:asciiTheme="majorEastAsia" w:hAnsiTheme="majorEastAsia" w:eastAsiaTheme="majorEastAsia"/>
                <w:szCs w:val="21"/>
              </w:rPr>
            </w:pPr>
            <w:r>
              <w:rPr>
                <w:rFonts w:hint="eastAsia" w:asciiTheme="majorEastAsia" w:hAnsiTheme="majorEastAsia" w:eastAsiaTheme="majorEastAsia"/>
                <w:szCs w:val="21"/>
              </w:rPr>
              <w:t>①资产保存完整计0.4分；②资产配置合理计0.4分；③资产处置规范计0.4分；④资产账务管理合规、帐实相符计0.4分；⑤资产有偿使用及处置收入及时足额上缴计0.4分。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547" w:type="dxa"/>
            <w:vMerge w:val="continue"/>
            <w:shd w:val="clear" w:color="auto" w:fill="auto"/>
            <w:vAlign w:val="center"/>
          </w:tcPr>
          <w:p>
            <w:pPr>
              <w:spacing w:line="240" w:lineRule="exact"/>
              <w:jc w:val="center"/>
              <w:rPr>
                <w:rFonts w:asciiTheme="majorEastAsia" w:hAnsiTheme="majorEastAsia" w:eastAsiaTheme="majorEastAsia"/>
                <w:szCs w:val="21"/>
              </w:rPr>
            </w:pPr>
          </w:p>
        </w:tc>
        <w:tc>
          <w:tcPr>
            <w:tcW w:w="570" w:type="dxa"/>
            <w:vMerge w:val="continue"/>
            <w:shd w:val="clear" w:color="auto" w:fill="auto"/>
            <w:vAlign w:val="center"/>
          </w:tcPr>
          <w:p>
            <w:pPr>
              <w:spacing w:line="240" w:lineRule="exact"/>
              <w:jc w:val="center"/>
              <w:rPr>
                <w:rFonts w:asciiTheme="majorEastAsia" w:hAnsiTheme="majorEastAsia" w:eastAsiaTheme="majorEastAsia"/>
                <w:szCs w:val="21"/>
              </w:rPr>
            </w:pPr>
          </w:p>
        </w:tc>
        <w:tc>
          <w:tcPr>
            <w:tcW w:w="703" w:type="dxa"/>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固定资产</w:t>
            </w:r>
          </w:p>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利用率（1分）</w:t>
            </w:r>
          </w:p>
        </w:tc>
        <w:tc>
          <w:tcPr>
            <w:tcW w:w="446" w:type="dxa"/>
            <w:tcMar>
              <w:top w:w="10" w:type="dxa"/>
              <w:left w:w="10" w:type="dxa"/>
              <w:bottom w:w="0" w:type="dxa"/>
              <w:right w:w="10" w:type="dxa"/>
            </w:tcMar>
            <w:vAlign w:val="center"/>
          </w:tcPr>
          <w:p>
            <w:pPr>
              <w:tabs>
                <w:tab w:val="left" w:pos="2604"/>
              </w:tabs>
              <w:spacing w:line="240" w:lineRule="exact"/>
              <w:jc w:val="center"/>
              <w:rPr>
                <w:rFonts w:hint="eastAsia" w:asciiTheme="majorEastAsia" w:hAnsiTheme="majorEastAsia" w:eastAsiaTheme="majorEastAsia"/>
                <w:szCs w:val="21"/>
                <w:lang w:val="en-US" w:eastAsia="zh-CN"/>
              </w:rPr>
            </w:pPr>
            <w:r>
              <w:rPr>
                <w:rFonts w:hint="eastAsia" w:asciiTheme="majorEastAsia" w:hAnsiTheme="majorEastAsia" w:eastAsiaTheme="majorEastAsia"/>
                <w:szCs w:val="21"/>
                <w:lang w:val="en-US" w:eastAsia="zh-CN"/>
              </w:rPr>
              <w:t>1</w:t>
            </w:r>
          </w:p>
        </w:tc>
        <w:tc>
          <w:tcPr>
            <w:tcW w:w="2976" w:type="dxa"/>
            <w:shd w:val="clear" w:color="auto" w:fill="auto"/>
            <w:tcMar>
              <w:top w:w="10" w:type="dxa"/>
              <w:left w:w="10" w:type="dxa"/>
              <w:bottom w:w="0" w:type="dxa"/>
              <w:right w:w="10" w:type="dxa"/>
            </w:tcMar>
            <w:vAlign w:val="center"/>
          </w:tcPr>
          <w:p>
            <w:pPr>
              <w:tabs>
                <w:tab w:val="left" w:pos="2604"/>
              </w:tabs>
              <w:spacing w:line="240" w:lineRule="exact"/>
              <w:rPr>
                <w:rFonts w:asciiTheme="majorEastAsia" w:hAnsiTheme="majorEastAsia" w:eastAsiaTheme="majorEastAsia"/>
                <w:szCs w:val="21"/>
              </w:rPr>
            </w:pPr>
            <w:r>
              <w:rPr>
                <w:rFonts w:hint="eastAsia" w:asciiTheme="majorEastAsia" w:hAnsiTheme="majorEastAsia" w:eastAsiaTheme="majorEastAsia"/>
                <w:szCs w:val="21"/>
              </w:rPr>
              <w:t>部门实际在用固定资产总额与所有固定资产总额的比率，用以反映和考核部门固定资产使用效率程度。</w:t>
            </w:r>
          </w:p>
        </w:tc>
        <w:tc>
          <w:tcPr>
            <w:tcW w:w="3721" w:type="dxa"/>
            <w:shd w:val="clear" w:color="auto" w:fill="auto"/>
            <w:tcMar>
              <w:top w:w="10" w:type="dxa"/>
              <w:left w:w="10" w:type="dxa"/>
              <w:bottom w:w="0" w:type="dxa"/>
              <w:right w:w="10" w:type="dxa"/>
            </w:tcMar>
            <w:vAlign w:val="center"/>
          </w:tcPr>
          <w:p>
            <w:pPr>
              <w:spacing w:line="240" w:lineRule="exact"/>
              <w:rPr>
                <w:rFonts w:asciiTheme="majorEastAsia" w:hAnsiTheme="majorEastAsia" w:eastAsiaTheme="majorEastAsia"/>
                <w:szCs w:val="21"/>
              </w:rPr>
            </w:pPr>
            <w:r>
              <w:rPr>
                <w:rFonts w:hint="eastAsia" w:asciiTheme="majorEastAsia" w:hAnsiTheme="majorEastAsia" w:eastAsiaTheme="majorEastAsia"/>
                <w:szCs w:val="21"/>
              </w:rPr>
              <w:t>固定资产利用率=（实际在用固定资产总额/所有固定资产总额）×100%。利用率为100%的计1分，每降1个百分点扣0.1分，扣完为止。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547" w:type="dxa"/>
            <w:vMerge w:val="restart"/>
            <w:shd w:val="clear" w:color="auto" w:fill="auto"/>
            <w:tcMar>
              <w:top w:w="10" w:type="dxa"/>
              <w:left w:w="10" w:type="dxa"/>
              <w:bottom w:w="0" w:type="dxa"/>
              <w:right w:w="10" w:type="dxa"/>
            </w:tcMar>
            <w:textDirection w:val="tbRlV"/>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产   出（30分）</w:t>
            </w:r>
          </w:p>
        </w:tc>
        <w:tc>
          <w:tcPr>
            <w:tcW w:w="570" w:type="dxa"/>
            <w:vMerge w:val="restart"/>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职责</w:t>
            </w:r>
            <w:r>
              <w:rPr>
                <w:rFonts w:hint="eastAsia" w:asciiTheme="majorEastAsia" w:hAnsiTheme="majorEastAsia" w:eastAsiaTheme="majorEastAsia"/>
                <w:szCs w:val="21"/>
              </w:rPr>
              <w:br w:type="textWrapping"/>
            </w:r>
            <w:r>
              <w:rPr>
                <w:rFonts w:hint="eastAsia" w:asciiTheme="majorEastAsia" w:hAnsiTheme="majorEastAsia" w:eastAsiaTheme="majorEastAsia"/>
                <w:szCs w:val="21"/>
              </w:rPr>
              <w:t>履行</w:t>
            </w:r>
          </w:p>
        </w:tc>
        <w:tc>
          <w:tcPr>
            <w:tcW w:w="703" w:type="dxa"/>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实际完成率（8分）</w:t>
            </w:r>
          </w:p>
        </w:tc>
        <w:tc>
          <w:tcPr>
            <w:tcW w:w="446" w:type="dxa"/>
            <w:tcMar>
              <w:top w:w="10" w:type="dxa"/>
              <w:left w:w="10" w:type="dxa"/>
              <w:bottom w:w="0" w:type="dxa"/>
              <w:right w:w="10" w:type="dxa"/>
            </w:tcMar>
            <w:vAlign w:val="center"/>
          </w:tcPr>
          <w:p>
            <w:pPr>
              <w:tabs>
                <w:tab w:val="left" w:pos="2604"/>
              </w:tabs>
              <w:spacing w:line="240" w:lineRule="exact"/>
              <w:jc w:val="center"/>
              <w:rPr>
                <w:rFonts w:hint="eastAsia" w:asciiTheme="majorEastAsia" w:hAnsiTheme="majorEastAsia" w:eastAsiaTheme="majorEastAsia"/>
                <w:szCs w:val="21"/>
                <w:lang w:val="en-US" w:eastAsia="zh-CN"/>
              </w:rPr>
            </w:pPr>
            <w:r>
              <w:rPr>
                <w:rFonts w:hint="eastAsia" w:asciiTheme="majorEastAsia" w:hAnsiTheme="majorEastAsia" w:eastAsiaTheme="majorEastAsia"/>
                <w:szCs w:val="21"/>
                <w:lang w:val="en-US" w:eastAsia="zh-CN"/>
              </w:rPr>
              <w:t>8</w:t>
            </w:r>
          </w:p>
        </w:tc>
        <w:tc>
          <w:tcPr>
            <w:tcW w:w="2976" w:type="dxa"/>
            <w:shd w:val="clear" w:color="auto" w:fill="auto"/>
            <w:tcMar>
              <w:top w:w="10" w:type="dxa"/>
              <w:left w:w="10" w:type="dxa"/>
              <w:bottom w:w="0" w:type="dxa"/>
              <w:right w:w="10" w:type="dxa"/>
            </w:tcMar>
            <w:vAlign w:val="center"/>
          </w:tcPr>
          <w:p>
            <w:pPr>
              <w:tabs>
                <w:tab w:val="left" w:pos="2604"/>
              </w:tabs>
              <w:spacing w:line="240" w:lineRule="exact"/>
              <w:rPr>
                <w:rFonts w:asciiTheme="majorEastAsia" w:hAnsiTheme="majorEastAsia" w:eastAsiaTheme="majorEastAsia"/>
                <w:szCs w:val="21"/>
              </w:rPr>
            </w:pPr>
            <w:r>
              <w:rPr>
                <w:rFonts w:hint="eastAsia" w:asciiTheme="majorEastAsia" w:hAnsiTheme="majorEastAsia" w:eastAsiaTheme="majorEastAsia"/>
                <w:szCs w:val="21"/>
              </w:rPr>
              <w:t>部门履行职责而实际完成工作数与计划工作数的比率，用以反映和考核部门履职工作任务目标的实现程度。</w:t>
            </w:r>
          </w:p>
        </w:tc>
        <w:tc>
          <w:tcPr>
            <w:tcW w:w="3721" w:type="dxa"/>
            <w:shd w:val="clear" w:color="auto" w:fill="auto"/>
            <w:tcMar>
              <w:top w:w="10" w:type="dxa"/>
              <w:left w:w="10" w:type="dxa"/>
              <w:bottom w:w="0" w:type="dxa"/>
              <w:right w:w="10" w:type="dxa"/>
            </w:tcMar>
            <w:vAlign w:val="center"/>
          </w:tcPr>
          <w:p>
            <w:pPr>
              <w:spacing w:line="240" w:lineRule="exact"/>
              <w:rPr>
                <w:rFonts w:asciiTheme="majorEastAsia" w:hAnsiTheme="majorEastAsia" w:eastAsiaTheme="majorEastAsia"/>
                <w:szCs w:val="21"/>
              </w:rPr>
            </w:pPr>
            <w:r>
              <w:rPr>
                <w:rFonts w:hint="eastAsia" w:asciiTheme="majorEastAsia" w:hAnsiTheme="majorEastAsia" w:eastAsiaTheme="majorEastAsia"/>
                <w:szCs w:val="21"/>
              </w:rPr>
              <w:t>实际完成率得分=完成市委市政府绩效考核得分或上级主管部门考核指标得分/指标分值*8分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Theme="majorEastAsia" w:hAnsiTheme="majorEastAsia" w:eastAsiaTheme="majorEastAsia"/>
                <w:szCs w:val="21"/>
              </w:rPr>
            </w:pPr>
          </w:p>
        </w:tc>
        <w:tc>
          <w:tcPr>
            <w:tcW w:w="570" w:type="dxa"/>
            <w:vMerge w:val="continue"/>
            <w:vAlign w:val="center"/>
          </w:tcPr>
          <w:p>
            <w:pPr>
              <w:spacing w:line="240" w:lineRule="exact"/>
              <w:jc w:val="center"/>
              <w:rPr>
                <w:rFonts w:asciiTheme="majorEastAsia" w:hAnsiTheme="majorEastAsia" w:eastAsiaTheme="majorEastAsia"/>
                <w:szCs w:val="21"/>
              </w:rPr>
            </w:pPr>
          </w:p>
        </w:tc>
        <w:tc>
          <w:tcPr>
            <w:tcW w:w="703" w:type="dxa"/>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完成及时率（4分）</w:t>
            </w:r>
          </w:p>
        </w:tc>
        <w:tc>
          <w:tcPr>
            <w:tcW w:w="446" w:type="dxa"/>
            <w:tcMar>
              <w:top w:w="10" w:type="dxa"/>
              <w:left w:w="10" w:type="dxa"/>
              <w:bottom w:w="0" w:type="dxa"/>
              <w:right w:w="10" w:type="dxa"/>
            </w:tcMar>
            <w:vAlign w:val="center"/>
          </w:tcPr>
          <w:p>
            <w:pPr>
              <w:tabs>
                <w:tab w:val="left" w:pos="2604"/>
              </w:tabs>
              <w:spacing w:line="240" w:lineRule="exact"/>
              <w:jc w:val="center"/>
              <w:rPr>
                <w:rFonts w:hint="eastAsia" w:asciiTheme="majorEastAsia" w:hAnsiTheme="majorEastAsia" w:eastAsiaTheme="majorEastAsia"/>
                <w:szCs w:val="21"/>
                <w:lang w:val="en-US" w:eastAsia="zh-CN"/>
              </w:rPr>
            </w:pPr>
            <w:r>
              <w:rPr>
                <w:rFonts w:hint="eastAsia" w:asciiTheme="majorEastAsia" w:hAnsiTheme="majorEastAsia" w:eastAsiaTheme="majorEastAsia"/>
                <w:szCs w:val="21"/>
                <w:lang w:val="en-US" w:eastAsia="zh-CN"/>
              </w:rPr>
              <w:t>4</w:t>
            </w:r>
          </w:p>
        </w:tc>
        <w:tc>
          <w:tcPr>
            <w:tcW w:w="2976" w:type="dxa"/>
            <w:shd w:val="clear" w:color="auto" w:fill="auto"/>
            <w:tcMar>
              <w:top w:w="10" w:type="dxa"/>
              <w:left w:w="10" w:type="dxa"/>
              <w:bottom w:w="0" w:type="dxa"/>
              <w:right w:w="10" w:type="dxa"/>
            </w:tcMar>
            <w:vAlign w:val="center"/>
          </w:tcPr>
          <w:p>
            <w:pPr>
              <w:tabs>
                <w:tab w:val="left" w:pos="2604"/>
              </w:tabs>
              <w:spacing w:line="240" w:lineRule="exact"/>
              <w:rPr>
                <w:rFonts w:asciiTheme="majorEastAsia" w:hAnsiTheme="majorEastAsia" w:eastAsiaTheme="majorEastAsia"/>
                <w:szCs w:val="21"/>
              </w:rPr>
            </w:pPr>
            <w:r>
              <w:rPr>
                <w:rFonts w:hint="eastAsia" w:asciiTheme="majorEastAsia" w:hAnsiTheme="majorEastAsia" w:eastAsiaTheme="majorEastAsia"/>
                <w:szCs w:val="21"/>
              </w:rPr>
              <w:t>部门在规定时限内及时完成的实际工作数与计划工作数的比率,用以反映和考核部门履职时效目标的实现程度。</w:t>
            </w:r>
          </w:p>
        </w:tc>
        <w:tc>
          <w:tcPr>
            <w:tcW w:w="3721" w:type="dxa"/>
            <w:shd w:val="clear" w:color="auto" w:fill="auto"/>
            <w:tcMar>
              <w:top w:w="10" w:type="dxa"/>
              <w:left w:w="10" w:type="dxa"/>
              <w:bottom w:w="0" w:type="dxa"/>
              <w:right w:w="10" w:type="dxa"/>
            </w:tcMar>
            <w:vAlign w:val="center"/>
          </w:tcPr>
          <w:p>
            <w:pPr>
              <w:spacing w:line="240" w:lineRule="exact"/>
              <w:rPr>
                <w:rFonts w:asciiTheme="majorEastAsia" w:hAnsiTheme="majorEastAsia" w:eastAsiaTheme="majorEastAsia"/>
                <w:szCs w:val="21"/>
              </w:rPr>
            </w:pPr>
            <w:r>
              <w:rPr>
                <w:rFonts w:hint="eastAsia" w:asciiTheme="majorEastAsia" w:hAnsiTheme="majorEastAsia" w:eastAsiaTheme="majorEastAsia"/>
                <w:szCs w:val="21"/>
              </w:rPr>
              <w:t>完成及时率=（及时完成实际工作数/计划工作数）×100%。1-4季度各得1分</w:t>
            </w:r>
            <w:r>
              <w:rPr>
                <w:rFonts w:hint="eastAsia" w:asciiTheme="majorEastAsia" w:hAnsiTheme="majorEastAsia" w:eastAsiaTheme="majorEastAsia"/>
                <w:szCs w:val="21"/>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Theme="majorEastAsia" w:hAnsiTheme="majorEastAsia" w:eastAsiaTheme="majorEastAsia"/>
                <w:szCs w:val="21"/>
              </w:rPr>
            </w:pPr>
          </w:p>
        </w:tc>
        <w:tc>
          <w:tcPr>
            <w:tcW w:w="570" w:type="dxa"/>
            <w:vMerge w:val="continue"/>
            <w:vAlign w:val="center"/>
          </w:tcPr>
          <w:p>
            <w:pPr>
              <w:spacing w:line="240" w:lineRule="exact"/>
              <w:jc w:val="center"/>
              <w:rPr>
                <w:rFonts w:asciiTheme="majorEastAsia" w:hAnsiTheme="majorEastAsia" w:eastAsiaTheme="majorEastAsia"/>
                <w:szCs w:val="21"/>
              </w:rPr>
            </w:pPr>
          </w:p>
        </w:tc>
        <w:tc>
          <w:tcPr>
            <w:tcW w:w="703" w:type="dxa"/>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质量达标率（8分）</w:t>
            </w:r>
          </w:p>
        </w:tc>
        <w:tc>
          <w:tcPr>
            <w:tcW w:w="446" w:type="dxa"/>
            <w:tcMar>
              <w:top w:w="10" w:type="dxa"/>
              <w:left w:w="10" w:type="dxa"/>
              <w:bottom w:w="0" w:type="dxa"/>
              <w:right w:w="10" w:type="dxa"/>
            </w:tcMar>
            <w:vAlign w:val="center"/>
          </w:tcPr>
          <w:p>
            <w:pPr>
              <w:tabs>
                <w:tab w:val="left" w:pos="2604"/>
              </w:tabs>
              <w:spacing w:line="240" w:lineRule="exact"/>
              <w:jc w:val="center"/>
              <w:rPr>
                <w:rFonts w:hint="eastAsia" w:asciiTheme="majorEastAsia" w:hAnsiTheme="majorEastAsia" w:eastAsiaTheme="majorEastAsia"/>
                <w:szCs w:val="21"/>
                <w:lang w:val="en-US" w:eastAsia="zh-CN"/>
              </w:rPr>
            </w:pPr>
            <w:r>
              <w:rPr>
                <w:rFonts w:hint="eastAsia" w:asciiTheme="majorEastAsia" w:hAnsiTheme="majorEastAsia" w:eastAsiaTheme="majorEastAsia"/>
                <w:szCs w:val="21"/>
                <w:lang w:val="en-US" w:eastAsia="zh-CN"/>
              </w:rPr>
              <w:t>7</w:t>
            </w:r>
          </w:p>
        </w:tc>
        <w:tc>
          <w:tcPr>
            <w:tcW w:w="2976" w:type="dxa"/>
            <w:shd w:val="clear" w:color="auto" w:fill="auto"/>
            <w:tcMar>
              <w:top w:w="10" w:type="dxa"/>
              <w:left w:w="10" w:type="dxa"/>
              <w:bottom w:w="0" w:type="dxa"/>
              <w:right w:w="10" w:type="dxa"/>
            </w:tcMar>
            <w:vAlign w:val="center"/>
          </w:tcPr>
          <w:p>
            <w:pPr>
              <w:tabs>
                <w:tab w:val="left" w:pos="2604"/>
              </w:tabs>
              <w:spacing w:line="240" w:lineRule="exact"/>
              <w:rPr>
                <w:rFonts w:asciiTheme="majorEastAsia" w:hAnsiTheme="majorEastAsia" w:eastAsiaTheme="majorEastAsia"/>
                <w:szCs w:val="21"/>
              </w:rPr>
            </w:pPr>
            <w:r>
              <w:rPr>
                <w:rFonts w:hint="eastAsia" w:asciiTheme="majorEastAsia" w:hAnsiTheme="majorEastAsia" w:eastAsiaTheme="majorEastAsia"/>
                <w:szCs w:val="21"/>
              </w:rPr>
              <w:t>达到质量标准（绩效标准值）的实际工作数与计划工作数的比率,用以反映和考核部门履职质量目标的实现程度。</w:t>
            </w:r>
          </w:p>
        </w:tc>
        <w:tc>
          <w:tcPr>
            <w:tcW w:w="3721" w:type="dxa"/>
            <w:shd w:val="clear" w:color="auto" w:fill="auto"/>
            <w:tcMar>
              <w:top w:w="10" w:type="dxa"/>
              <w:left w:w="10" w:type="dxa"/>
              <w:bottom w:w="0" w:type="dxa"/>
              <w:right w:w="10" w:type="dxa"/>
            </w:tcMar>
            <w:vAlign w:val="center"/>
          </w:tcPr>
          <w:p>
            <w:pPr>
              <w:spacing w:line="240" w:lineRule="exact"/>
              <w:rPr>
                <w:rFonts w:asciiTheme="majorEastAsia" w:hAnsiTheme="majorEastAsia" w:eastAsiaTheme="majorEastAsia"/>
                <w:szCs w:val="21"/>
              </w:rPr>
            </w:pPr>
            <w:r>
              <w:rPr>
                <w:rFonts w:hint="eastAsia" w:asciiTheme="majorEastAsia" w:hAnsiTheme="majorEastAsia" w:eastAsiaTheme="majorEastAsia"/>
                <w:szCs w:val="21"/>
              </w:rPr>
              <w:t>质量达标率=（质量达标实际工作数/计划工作数）×100%。实际得分=达标率*8分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Theme="majorEastAsia" w:hAnsiTheme="majorEastAsia" w:eastAsiaTheme="majorEastAsia"/>
                <w:szCs w:val="21"/>
              </w:rPr>
            </w:pPr>
          </w:p>
        </w:tc>
        <w:tc>
          <w:tcPr>
            <w:tcW w:w="570" w:type="dxa"/>
            <w:vMerge w:val="continue"/>
            <w:vAlign w:val="center"/>
          </w:tcPr>
          <w:p>
            <w:pPr>
              <w:spacing w:line="240" w:lineRule="exact"/>
              <w:jc w:val="center"/>
              <w:rPr>
                <w:rFonts w:asciiTheme="majorEastAsia" w:hAnsiTheme="majorEastAsia" w:eastAsiaTheme="majorEastAsia"/>
                <w:szCs w:val="21"/>
              </w:rPr>
            </w:pPr>
          </w:p>
        </w:tc>
        <w:tc>
          <w:tcPr>
            <w:tcW w:w="703" w:type="dxa"/>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重点工作</w:t>
            </w:r>
          </w:p>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办结率（10分）</w:t>
            </w:r>
          </w:p>
        </w:tc>
        <w:tc>
          <w:tcPr>
            <w:tcW w:w="446" w:type="dxa"/>
            <w:tcMar>
              <w:top w:w="10" w:type="dxa"/>
              <w:left w:w="10" w:type="dxa"/>
              <w:bottom w:w="0" w:type="dxa"/>
              <w:right w:w="10" w:type="dxa"/>
            </w:tcMar>
            <w:vAlign w:val="center"/>
          </w:tcPr>
          <w:p>
            <w:pPr>
              <w:tabs>
                <w:tab w:val="left" w:pos="2604"/>
              </w:tabs>
              <w:spacing w:line="240" w:lineRule="exact"/>
              <w:jc w:val="center"/>
              <w:rPr>
                <w:rFonts w:hint="eastAsia" w:asciiTheme="majorEastAsia" w:hAnsiTheme="majorEastAsia" w:eastAsiaTheme="majorEastAsia"/>
                <w:szCs w:val="21"/>
                <w:lang w:val="en-US" w:eastAsia="zh-CN"/>
              </w:rPr>
            </w:pPr>
            <w:r>
              <w:rPr>
                <w:rFonts w:hint="eastAsia" w:asciiTheme="majorEastAsia" w:hAnsiTheme="majorEastAsia" w:eastAsiaTheme="majorEastAsia"/>
                <w:szCs w:val="21"/>
                <w:lang w:val="en-US" w:eastAsia="zh-CN"/>
              </w:rPr>
              <w:t>10</w:t>
            </w:r>
          </w:p>
        </w:tc>
        <w:tc>
          <w:tcPr>
            <w:tcW w:w="2976" w:type="dxa"/>
            <w:shd w:val="clear" w:color="auto" w:fill="auto"/>
            <w:tcMar>
              <w:top w:w="10" w:type="dxa"/>
              <w:left w:w="10" w:type="dxa"/>
              <w:bottom w:w="0" w:type="dxa"/>
              <w:right w:w="10" w:type="dxa"/>
            </w:tcMar>
            <w:vAlign w:val="center"/>
          </w:tcPr>
          <w:p>
            <w:pPr>
              <w:tabs>
                <w:tab w:val="left" w:pos="2604"/>
              </w:tabs>
              <w:spacing w:line="240" w:lineRule="exact"/>
              <w:rPr>
                <w:rFonts w:asciiTheme="majorEastAsia" w:hAnsiTheme="majorEastAsia" w:eastAsiaTheme="majorEastAsia"/>
                <w:szCs w:val="21"/>
              </w:rPr>
            </w:pPr>
            <w:r>
              <w:rPr>
                <w:rFonts w:hint="eastAsia" w:asciiTheme="majorEastAsia" w:hAnsiTheme="majorEastAsia" w:eastAsiaTheme="majorEastAsia"/>
                <w:szCs w:val="21"/>
              </w:rPr>
              <w:t>部门年度重点工作实际完成数与交办或下达数的比率，用以反映部门对重点工作的办理落实程度。</w:t>
            </w:r>
          </w:p>
        </w:tc>
        <w:tc>
          <w:tcPr>
            <w:tcW w:w="3721" w:type="dxa"/>
            <w:shd w:val="clear" w:color="auto" w:fill="auto"/>
            <w:tcMar>
              <w:top w:w="10" w:type="dxa"/>
              <w:left w:w="10" w:type="dxa"/>
              <w:bottom w:w="0" w:type="dxa"/>
              <w:right w:w="10" w:type="dxa"/>
            </w:tcMar>
            <w:vAlign w:val="center"/>
          </w:tcPr>
          <w:p>
            <w:pPr>
              <w:spacing w:line="240" w:lineRule="exact"/>
              <w:rPr>
                <w:rFonts w:asciiTheme="majorEastAsia" w:hAnsiTheme="majorEastAsia" w:eastAsiaTheme="majorEastAsia"/>
                <w:szCs w:val="21"/>
              </w:rPr>
            </w:pPr>
            <w:r>
              <w:rPr>
                <w:rFonts w:hint="eastAsia" w:asciiTheme="majorEastAsia" w:hAnsiTheme="majorEastAsia" w:eastAsiaTheme="majorEastAsia"/>
                <w:szCs w:val="21"/>
              </w:rPr>
              <w:t>重点工作办结率=（重点工作实际完成数/交办或下达数）×100%。实际得分=办结率*10分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547" w:type="dxa"/>
            <w:vMerge w:val="restart"/>
            <w:shd w:val="clear" w:color="auto" w:fill="auto"/>
            <w:tcMar>
              <w:top w:w="10" w:type="dxa"/>
              <w:left w:w="10" w:type="dxa"/>
              <w:bottom w:w="0" w:type="dxa"/>
              <w:right w:w="10" w:type="dxa"/>
            </w:tcMar>
            <w:textDirection w:val="tbRlV"/>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效   果（20分）</w:t>
            </w:r>
          </w:p>
        </w:tc>
        <w:tc>
          <w:tcPr>
            <w:tcW w:w="570" w:type="dxa"/>
            <w:vMerge w:val="restart"/>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履职</w:t>
            </w:r>
            <w:r>
              <w:rPr>
                <w:rFonts w:hint="eastAsia" w:asciiTheme="majorEastAsia" w:hAnsiTheme="majorEastAsia" w:eastAsiaTheme="majorEastAsia"/>
                <w:szCs w:val="21"/>
              </w:rPr>
              <w:br w:type="textWrapping"/>
            </w:r>
            <w:r>
              <w:rPr>
                <w:rFonts w:hint="eastAsia" w:asciiTheme="majorEastAsia" w:hAnsiTheme="majorEastAsia" w:eastAsiaTheme="majorEastAsia"/>
                <w:szCs w:val="21"/>
              </w:rPr>
              <w:t>效益（20分）</w:t>
            </w:r>
          </w:p>
        </w:tc>
        <w:tc>
          <w:tcPr>
            <w:tcW w:w="703" w:type="dxa"/>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经济效益（5分）</w:t>
            </w:r>
          </w:p>
        </w:tc>
        <w:tc>
          <w:tcPr>
            <w:tcW w:w="446" w:type="dxa"/>
            <w:tcMar>
              <w:top w:w="10" w:type="dxa"/>
              <w:left w:w="10" w:type="dxa"/>
              <w:bottom w:w="0" w:type="dxa"/>
              <w:right w:w="10" w:type="dxa"/>
            </w:tcMar>
            <w:vAlign w:val="center"/>
          </w:tcPr>
          <w:p>
            <w:pPr>
              <w:tabs>
                <w:tab w:val="left" w:pos="2604"/>
              </w:tabs>
              <w:spacing w:line="240" w:lineRule="exact"/>
              <w:jc w:val="center"/>
              <w:rPr>
                <w:rFonts w:hint="eastAsia" w:asciiTheme="majorEastAsia" w:hAnsiTheme="majorEastAsia" w:eastAsiaTheme="majorEastAsia"/>
                <w:szCs w:val="21"/>
                <w:lang w:val="en-US" w:eastAsia="zh-CN"/>
              </w:rPr>
            </w:pPr>
            <w:r>
              <w:rPr>
                <w:rFonts w:hint="eastAsia" w:asciiTheme="majorEastAsia" w:hAnsiTheme="majorEastAsia" w:eastAsiaTheme="majorEastAsia"/>
                <w:szCs w:val="21"/>
                <w:lang w:val="en-US" w:eastAsia="zh-CN"/>
              </w:rPr>
              <w:t>4</w:t>
            </w:r>
          </w:p>
        </w:tc>
        <w:tc>
          <w:tcPr>
            <w:tcW w:w="2976" w:type="dxa"/>
            <w:shd w:val="clear" w:color="auto" w:fill="auto"/>
            <w:tcMar>
              <w:top w:w="10" w:type="dxa"/>
              <w:left w:w="10" w:type="dxa"/>
              <w:bottom w:w="0" w:type="dxa"/>
              <w:right w:w="10" w:type="dxa"/>
            </w:tcMar>
            <w:vAlign w:val="center"/>
          </w:tcPr>
          <w:p>
            <w:pPr>
              <w:tabs>
                <w:tab w:val="left" w:pos="2604"/>
              </w:tabs>
              <w:spacing w:line="240" w:lineRule="exact"/>
              <w:rPr>
                <w:rFonts w:asciiTheme="majorEastAsia" w:hAnsiTheme="majorEastAsia" w:eastAsiaTheme="majorEastAsia"/>
                <w:szCs w:val="21"/>
              </w:rPr>
            </w:pPr>
            <w:r>
              <w:rPr>
                <w:rFonts w:hint="eastAsia" w:asciiTheme="majorEastAsia" w:hAnsiTheme="majorEastAsia" w:eastAsiaTheme="majorEastAsia"/>
                <w:szCs w:val="21"/>
              </w:rPr>
              <w:t>部门履行职责对经济发展所带来的直接或间接影响。</w:t>
            </w:r>
          </w:p>
        </w:tc>
        <w:tc>
          <w:tcPr>
            <w:tcW w:w="3721" w:type="dxa"/>
            <w:vMerge w:val="restart"/>
            <w:shd w:val="clear" w:color="auto" w:fill="auto"/>
            <w:tcMar>
              <w:top w:w="10" w:type="dxa"/>
              <w:left w:w="10" w:type="dxa"/>
              <w:bottom w:w="0" w:type="dxa"/>
              <w:right w:w="10" w:type="dxa"/>
            </w:tcMar>
            <w:vAlign w:val="center"/>
          </w:tcPr>
          <w:p>
            <w:pPr>
              <w:spacing w:line="240" w:lineRule="exact"/>
              <w:rPr>
                <w:rFonts w:asciiTheme="majorEastAsia" w:hAnsiTheme="majorEastAsia" w:eastAsiaTheme="majorEastAsia"/>
                <w:szCs w:val="21"/>
              </w:rPr>
            </w:pPr>
            <w:r>
              <w:rPr>
                <w:rFonts w:hint="eastAsia" w:cs="宋体" w:asciiTheme="majorEastAsia" w:hAnsiTheme="majorEastAsia" w:eastAsiaTheme="majorEastAsia"/>
                <w:kern w:val="0"/>
                <w:szCs w:val="21"/>
              </w:rPr>
              <w:t>按经济效益实现程度计算得分（5分）；按社会效益实现程度计算得分（5分）；按生态效益实现程度计算得分（5分）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Theme="majorEastAsia" w:hAnsiTheme="majorEastAsia" w:eastAsiaTheme="majorEastAsia"/>
                <w:szCs w:val="21"/>
              </w:rPr>
            </w:pPr>
          </w:p>
        </w:tc>
        <w:tc>
          <w:tcPr>
            <w:tcW w:w="570" w:type="dxa"/>
            <w:vMerge w:val="continue"/>
            <w:vAlign w:val="center"/>
          </w:tcPr>
          <w:p>
            <w:pPr>
              <w:spacing w:line="240" w:lineRule="exact"/>
              <w:jc w:val="center"/>
              <w:rPr>
                <w:rFonts w:asciiTheme="majorEastAsia" w:hAnsiTheme="majorEastAsia" w:eastAsiaTheme="majorEastAsia"/>
                <w:szCs w:val="21"/>
              </w:rPr>
            </w:pPr>
          </w:p>
        </w:tc>
        <w:tc>
          <w:tcPr>
            <w:tcW w:w="703" w:type="dxa"/>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社会效益（5分）</w:t>
            </w:r>
          </w:p>
        </w:tc>
        <w:tc>
          <w:tcPr>
            <w:tcW w:w="446" w:type="dxa"/>
            <w:vAlign w:val="center"/>
          </w:tcPr>
          <w:p>
            <w:pPr>
              <w:tabs>
                <w:tab w:val="left" w:pos="2604"/>
              </w:tabs>
              <w:spacing w:line="240" w:lineRule="exact"/>
              <w:jc w:val="center"/>
              <w:rPr>
                <w:rFonts w:hint="eastAsia" w:asciiTheme="majorEastAsia" w:hAnsiTheme="majorEastAsia" w:eastAsiaTheme="majorEastAsia"/>
                <w:szCs w:val="21"/>
                <w:lang w:val="en-US" w:eastAsia="zh-CN"/>
              </w:rPr>
            </w:pPr>
            <w:r>
              <w:rPr>
                <w:rFonts w:hint="eastAsia" w:asciiTheme="majorEastAsia" w:hAnsiTheme="majorEastAsia" w:eastAsiaTheme="majorEastAsia"/>
                <w:szCs w:val="21"/>
                <w:lang w:val="en-US" w:eastAsia="zh-CN"/>
              </w:rPr>
              <w:t>5</w:t>
            </w:r>
          </w:p>
        </w:tc>
        <w:tc>
          <w:tcPr>
            <w:tcW w:w="2976" w:type="dxa"/>
            <w:shd w:val="clear" w:color="auto" w:fill="auto"/>
            <w:tcMar>
              <w:top w:w="10" w:type="dxa"/>
              <w:left w:w="10" w:type="dxa"/>
              <w:bottom w:w="0" w:type="dxa"/>
              <w:right w:w="10" w:type="dxa"/>
            </w:tcMar>
            <w:vAlign w:val="center"/>
          </w:tcPr>
          <w:p>
            <w:pPr>
              <w:tabs>
                <w:tab w:val="left" w:pos="2604"/>
              </w:tabs>
              <w:spacing w:line="240" w:lineRule="exact"/>
              <w:rPr>
                <w:rFonts w:asciiTheme="majorEastAsia" w:hAnsiTheme="majorEastAsia" w:eastAsiaTheme="majorEastAsia"/>
                <w:szCs w:val="21"/>
              </w:rPr>
            </w:pPr>
            <w:r>
              <w:rPr>
                <w:rFonts w:hint="eastAsia" w:asciiTheme="majorEastAsia" w:hAnsiTheme="majorEastAsia" w:eastAsiaTheme="majorEastAsia"/>
                <w:szCs w:val="21"/>
              </w:rPr>
              <w:t>部门履行职责对社会发展所带来的直接或间接影响。</w:t>
            </w:r>
          </w:p>
        </w:tc>
        <w:tc>
          <w:tcPr>
            <w:tcW w:w="3721" w:type="dxa"/>
            <w:vMerge w:val="continue"/>
            <w:vAlign w:val="center"/>
          </w:tcPr>
          <w:p>
            <w:pPr>
              <w:spacing w:line="240" w:lineRule="exac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Theme="majorEastAsia" w:hAnsiTheme="majorEastAsia" w:eastAsiaTheme="majorEastAsia"/>
                <w:szCs w:val="21"/>
              </w:rPr>
            </w:pPr>
          </w:p>
        </w:tc>
        <w:tc>
          <w:tcPr>
            <w:tcW w:w="570" w:type="dxa"/>
            <w:vMerge w:val="continue"/>
            <w:vAlign w:val="center"/>
          </w:tcPr>
          <w:p>
            <w:pPr>
              <w:spacing w:line="240" w:lineRule="exact"/>
              <w:jc w:val="center"/>
              <w:rPr>
                <w:rFonts w:asciiTheme="majorEastAsia" w:hAnsiTheme="majorEastAsia" w:eastAsiaTheme="majorEastAsia"/>
                <w:szCs w:val="21"/>
              </w:rPr>
            </w:pPr>
          </w:p>
        </w:tc>
        <w:tc>
          <w:tcPr>
            <w:tcW w:w="703" w:type="dxa"/>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生态效益（5分）</w:t>
            </w:r>
          </w:p>
        </w:tc>
        <w:tc>
          <w:tcPr>
            <w:tcW w:w="446" w:type="dxa"/>
            <w:vAlign w:val="center"/>
          </w:tcPr>
          <w:p>
            <w:pPr>
              <w:tabs>
                <w:tab w:val="left" w:pos="2604"/>
              </w:tabs>
              <w:spacing w:line="240" w:lineRule="exact"/>
              <w:jc w:val="center"/>
              <w:rPr>
                <w:rFonts w:hint="eastAsia" w:asciiTheme="majorEastAsia" w:hAnsiTheme="majorEastAsia" w:eastAsiaTheme="majorEastAsia"/>
                <w:szCs w:val="21"/>
                <w:lang w:val="en-US" w:eastAsia="zh-CN"/>
              </w:rPr>
            </w:pPr>
            <w:r>
              <w:rPr>
                <w:rFonts w:hint="eastAsia" w:asciiTheme="majorEastAsia" w:hAnsiTheme="majorEastAsia" w:eastAsiaTheme="majorEastAsia"/>
                <w:szCs w:val="21"/>
                <w:lang w:val="en-US" w:eastAsia="zh-CN"/>
              </w:rPr>
              <w:t>5</w:t>
            </w:r>
          </w:p>
        </w:tc>
        <w:tc>
          <w:tcPr>
            <w:tcW w:w="2976" w:type="dxa"/>
            <w:shd w:val="clear" w:color="auto" w:fill="auto"/>
            <w:tcMar>
              <w:top w:w="10" w:type="dxa"/>
              <w:left w:w="10" w:type="dxa"/>
              <w:bottom w:w="0" w:type="dxa"/>
              <w:right w:w="10" w:type="dxa"/>
            </w:tcMar>
            <w:vAlign w:val="center"/>
          </w:tcPr>
          <w:p>
            <w:pPr>
              <w:tabs>
                <w:tab w:val="left" w:pos="2604"/>
              </w:tabs>
              <w:spacing w:line="240" w:lineRule="exact"/>
              <w:rPr>
                <w:rFonts w:asciiTheme="majorEastAsia" w:hAnsiTheme="majorEastAsia" w:eastAsiaTheme="majorEastAsia"/>
                <w:szCs w:val="21"/>
              </w:rPr>
            </w:pPr>
            <w:r>
              <w:rPr>
                <w:rFonts w:hint="eastAsia" w:asciiTheme="majorEastAsia" w:hAnsiTheme="majorEastAsia" w:eastAsiaTheme="majorEastAsia"/>
                <w:szCs w:val="21"/>
              </w:rPr>
              <w:t>部门履行职责对生态环境所带来的直接或间接影响。</w:t>
            </w:r>
          </w:p>
        </w:tc>
        <w:tc>
          <w:tcPr>
            <w:tcW w:w="3721" w:type="dxa"/>
            <w:vMerge w:val="continue"/>
            <w:vAlign w:val="center"/>
          </w:tcPr>
          <w:p>
            <w:pPr>
              <w:spacing w:line="240" w:lineRule="exac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Theme="majorEastAsia" w:hAnsiTheme="majorEastAsia" w:eastAsiaTheme="majorEastAsia"/>
                <w:szCs w:val="21"/>
              </w:rPr>
            </w:pPr>
          </w:p>
        </w:tc>
        <w:tc>
          <w:tcPr>
            <w:tcW w:w="570" w:type="dxa"/>
            <w:vMerge w:val="continue"/>
            <w:vAlign w:val="center"/>
          </w:tcPr>
          <w:p>
            <w:pPr>
              <w:spacing w:line="240" w:lineRule="exact"/>
              <w:jc w:val="center"/>
              <w:rPr>
                <w:rFonts w:asciiTheme="majorEastAsia" w:hAnsiTheme="majorEastAsia" w:eastAsiaTheme="majorEastAsia"/>
                <w:szCs w:val="21"/>
              </w:rPr>
            </w:pPr>
          </w:p>
        </w:tc>
        <w:tc>
          <w:tcPr>
            <w:tcW w:w="703" w:type="dxa"/>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社会公众</w:t>
            </w:r>
          </w:p>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或服务对</w:t>
            </w:r>
          </w:p>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象满意度（5分）</w:t>
            </w:r>
          </w:p>
        </w:tc>
        <w:tc>
          <w:tcPr>
            <w:tcW w:w="446" w:type="dxa"/>
            <w:tcMar>
              <w:top w:w="10" w:type="dxa"/>
              <w:left w:w="10" w:type="dxa"/>
              <w:bottom w:w="0" w:type="dxa"/>
              <w:right w:w="10" w:type="dxa"/>
            </w:tcMar>
            <w:vAlign w:val="center"/>
          </w:tcPr>
          <w:p>
            <w:pPr>
              <w:tabs>
                <w:tab w:val="left" w:pos="2604"/>
              </w:tabs>
              <w:spacing w:line="240" w:lineRule="exact"/>
              <w:jc w:val="center"/>
              <w:rPr>
                <w:rFonts w:hint="eastAsia" w:asciiTheme="majorEastAsia" w:hAnsiTheme="majorEastAsia" w:eastAsiaTheme="majorEastAsia"/>
                <w:szCs w:val="21"/>
                <w:lang w:val="en-US" w:eastAsia="zh-CN"/>
              </w:rPr>
            </w:pPr>
            <w:r>
              <w:rPr>
                <w:rFonts w:hint="eastAsia" w:asciiTheme="majorEastAsia" w:hAnsiTheme="majorEastAsia" w:eastAsiaTheme="majorEastAsia"/>
                <w:szCs w:val="21"/>
                <w:lang w:val="en-US" w:eastAsia="zh-CN"/>
              </w:rPr>
              <w:t>5</w:t>
            </w:r>
          </w:p>
        </w:tc>
        <w:tc>
          <w:tcPr>
            <w:tcW w:w="2976" w:type="dxa"/>
            <w:shd w:val="clear" w:color="auto" w:fill="auto"/>
            <w:tcMar>
              <w:top w:w="10" w:type="dxa"/>
              <w:left w:w="10" w:type="dxa"/>
              <w:bottom w:w="0" w:type="dxa"/>
              <w:right w:w="10" w:type="dxa"/>
            </w:tcMar>
            <w:vAlign w:val="center"/>
          </w:tcPr>
          <w:p>
            <w:pPr>
              <w:tabs>
                <w:tab w:val="left" w:pos="2604"/>
              </w:tabs>
              <w:spacing w:line="240" w:lineRule="exact"/>
              <w:rPr>
                <w:rFonts w:asciiTheme="majorEastAsia" w:hAnsiTheme="majorEastAsia" w:eastAsiaTheme="majorEastAsia"/>
                <w:szCs w:val="21"/>
              </w:rPr>
            </w:pPr>
            <w:r>
              <w:rPr>
                <w:rFonts w:hint="eastAsia" w:asciiTheme="majorEastAsia" w:hAnsiTheme="majorEastAsia" w:eastAsiaTheme="majorEastAsia"/>
                <w:szCs w:val="21"/>
              </w:rPr>
              <w:t>社会公众或部门的服务对象对部门履职效果的满意程度。</w:t>
            </w:r>
          </w:p>
        </w:tc>
        <w:tc>
          <w:tcPr>
            <w:tcW w:w="3721" w:type="dxa"/>
            <w:shd w:val="clear" w:color="auto" w:fill="auto"/>
            <w:tcMar>
              <w:top w:w="10" w:type="dxa"/>
              <w:left w:w="10" w:type="dxa"/>
              <w:bottom w:w="0" w:type="dxa"/>
              <w:right w:w="10" w:type="dxa"/>
            </w:tcMar>
            <w:vAlign w:val="center"/>
          </w:tcPr>
          <w:p>
            <w:pPr>
              <w:spacing w:line="240" w:lineRule="exact"/>
              <w:rPr>
                <w:rFonts w:asciiTheme="majorEastAsia" w:hAnsiTheme="majorEastAsia" w:eastAsiaTheme="majorEastAsia"/>
                <w:szCs w:val="21"/>
              </w:rPr>
            </w:pPr>
            <w:r>
              <w:rPr>
                <w:rFonts w:hint="eastAsia" w:cs="宋体" w:asciiTheme="majorEastAsia" w:hAnsiTheme="majorEastAsia" w:eastAsiaTheme="majorEastAsia"/>
                <w:kern w:val="0"/>
                <w:szCs w:val="21"/>
              </w:rPr>
              <w:t>按收集到的服务对象的满意率计算得分（5分）</w:t>
            </w:r>
          </w:p>
        </w:tc>
      </w:tr>
    </w:tbl>
    <w:p>
      <w:pPr>
        <w:pStyle w:val="4"/>
        <w:keepNext w:val="0"/>
        <w:keepLines w:val="0"/>
        <w:pageBreakBefore w:val="0"/>
        <w:shd w:val="clear" w:color="auto" w:fill="FFFFFF"/>
        <w:kinsoku/>
        <w:wordWrap/>
        <w:overflowPunct/>
        <w:topLinePunct w:val="0"/>
        <w:autoSpaceDN/>
        <w:bidi w:val="0"/>
        <w:adjustRightInd/>
        <w:snapToGrid/>
        <w:spacing w:before="0" w:beforeAutospacing="0" w:after="0" w:afterAutospacing="0" w:line="560" w:lineRule="exact"/>
        <w:ind w:firstLine="800" w:firstLineChars="250"/>
        <w:jc w:val="both"/>
        <w:textAlignment w:val="auto"/>
        <w:outlineLvl w:val="9"/>
        <w:rPr>
          <w:rFonts w:hint="eastAsia" w:ascii="仿宋" w:hAnsi="仿宋" w:eastAsia="仿宋" w:cs="Times New Roman"/>
          <w:color w:val="000000"/>
          <w:kern w:val="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220EEC"/>
    <w:rsid w:val="00631447"/>
    <w:rsid w:val="00CC2C23"/>
    <w:rsid w:val="02F04CFD"/>
    <w:rsid w:val="042B4A6F"/>
    <w:rsid w:val="053C4E58"/>
    <w:rsid w:val="06DC73C9"/>
    <w:rsid w:val="088E44CE"/>
    <w:rsid w:val="09456569"/>
    <w:rsid w:val="0967641E"/>
    <w:rsid w:val="0A3E51A9"/>
    <w:rsid w:val="0B4F7C8B"/>
    <w:rsid w:val="0B8E03DE"/>
    <w:rsid w:val="0E836590"/>
    <w:rsid w:val="13DE665A"/>
    <w:rsid w:val="171448F0"/>
    <w:rsid w:val="1AD21D93"/>
    <w:rsid w:val="1B220EEC"/>
    <w:rsid w:val="29494F4A"/>
    <w:rsid w:val="2D634B06"/>
    <w:rsid w:val="2DED52DE"/>
    <w:rsid w:val="33D54F79"/>
    <w:rsid w:val="36057680"/>
    <w:rsid w:val="37C933FF"/>
    <w:rsid w:val="38200265"/>
    <w:rsid w:val="3A5A67D5"/>
    <w:rsid w:val="3ADB1B28"/>
    <w:rsid w:val="3C240CC5"/>
    <w:rsid w:val="3FB9437F"/>
    <w:rsid w:val="43482F83"/>
    <w:rsid w:val="4730634E"/>
    <w:rsid w:val="49364417"/>
    <w:rsid w:val="52480F6C"/>
    <w:rsid w:val="54F26722"/>
    <w:rsid w:val="5CD7252E"/>
    <w:rsid w:val="5F097E24"/>
    <w:rsid w:val="60770A0B"/>
    <w:rsid w:val="60A934FE"/>
    <w:rsid w:val="61C14D75"/>
    <w:rsid w:val="62FD1738"/>
    <w:rsid w:val="6303109E"/>
    <w:rsid w:val="64AF7F1F"/>
    <w:rsid w:val="67185EE7"/>
    <w:rsid w:val="67D132C4"/>
    <w:rsid w:val="6C2929C3"/>
    <w:rsid w:val="6D535020"/>
    <w:rsid w:val="6FDC6615"/>
    <w:rsid w:val="703D66AF"/>
    <w:rsid w:val="71366FD6"/>
    <w:rsid w:val="71D47228"/>
    <w:rsid w:val="7201240C"/>
    <w:rsid w:val="73EC6792"/>
    <w:rsid w:val="7A8740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w\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5</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2018-06-27T06:54:00Z</dcterms:created>
  <dc:creator>诚</dc:creator>
  <cp:lastModifiedBy>诚</cp:lastModifiedBy>
  <dcterms:modified xsi:type="dcterms:W3CDTF">2018-06-28T07:34:18Z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