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wordWrap/>
        <w:adjustRightInd w:val="0"/>
        <w:snapToGrid w:val="0"/>
        <w:spacing w:after="0" w:line="600" w:lineRule="exact"/>
        <w:ind w:left="-15" w:leftChars="-7" w:right="0" w:firstLine="19" w:firstLineChars="6"/>
        <w:textAlignment w:val="auto"/>
        <w:outlineLvl w:val="9"/>
        <w:rPr>
          <w:rFonts w:hint="eastAsia" w:ascii="黑体" w:hAnsi="黑体" w:eastAsia="黑体"/>
          <w:bCs/>
          <w:spacing w:val="0"/>
          <w:sz w:val="32"/>
          <w:szCs w:val="32"/>
        </w:rPr>
      </w:pPr>
      <w:r>
        <w:rPr>
          <w:rFonts w:ascii="黑体" w:hAnsi="黑体" w:eastAsia="黑体"/>
          <w:bCs/>
          <w:spacing w:val="0"/>
          <w:sz w:val="32"/>
          <w:szCs w:val="32"/>
        </w:rPr>
        <w:t>HSDR</w:t>
      </w:r>
      <w:r>
        <w:rPr>
          <w:rFonts w:hint="eastAsia" w:ascii="黑体" w:hAnsi="黑体" w:eastAsia="黑体"/>
          <w:bCs/>
          <w:spacing w:val="0"/>
          <w:sz w:val="32"/>
          <w:szCs w:val="32"/>
        </w:rPr>
        <w:t>－</w:t>
      </w:r>
      <w:r>
        <w:rPr>
          <w:rFonts w:ascii="黑体" w:hAnsi="黑体" w:eastAsia="黑体"/>
          <w:bCs/>
          <w:spacing w:val="0"/>
          <w:sz w:val="32"/>
          <w:szCs w:val="32"/>
        </w:rPr>
        <w:t>201</w:t>
      </w:r>
      <w:r>
        <w:rPr>
          <w:rFonts w:hint="eastAsia" w:ascii="黑体" w:hAnsi="黑体" w:eastAsia="黑体"/>
          <w:bCs/>
          <w:spacing w:val="0"/>
          <w:sz w:val="32"/>
          <w:szCs w:val="32"/>
          <w:lang w:val="en-US" w:eastAsia="zh-CN"/>
        </w:rPr>
        <w:t>8</w:t>
      </w:r>
      <w:r>
        <w:rPr>
          <w:rFonts w:hint="eastAsia" w:ascii="黑体" w:hAnsi="黑体" w:eastAsia="黑体"/>
          <w:bCs/>
          <w:spacing w:val="0"/>
          <w:sz w:val="32"/>
          <w:szCs w:val="32"/>
        </w:rPr>
        <w:t>－</w:t>
      </w:r>
      <w:r>
        <w:rPr>
          <w:rFonts w:ascii="黑体" w:hAnsi="黑体" w:eastAsia="黑体"/>
          <w:bCs/>
          <w:spacing w:val="0"/>
          <w:sz w:val="32"/>
          <w:szCs w:val="32"/>
        </w:rPr>
        <w:t>000</w:t>
      </w:r>
      <w:r>
        <w:rPr>
          <w:rFonts w:hint="eastAsia" w:ascii="黑体" w:hAnsi="黑体" w:eastAsia="黑体"/>
          <w:bCs/>
          <w:spacing w:val="0"/>
          <w:sz w:val="32"/>
          <w:szCs w:val="32"/>
          <w:lang w:val="en-US" w:eastAsia="zh-CN"/>
        </w:rPr>
        <w:t>13</w:t>
      </w:r>
    </w:p>
    <w:p>
      <w:pPr>
        <w:widowControl/>
        <w:wordWrap/>
        <w:adjustRightInd w:val="0"/>
        <w:snapToGrid w:val="0"/>
        <w:spacing w:after="0" w:line="36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400" w:lineRule="exact"/>
        <w:ind w:left="-15" w:leftChars="-7" w:right="0" w:firstLine="13" w:firstLineChars="6"/>
        <w:jc w:val="center"/>
        <w:textAlignment w:val="auto"/>
        <w:outlineLvl w:val="9"/>
        <w:rPr>
          <w:bCs/>
          <w:spacing w:val="0"/>
        </w:rPr>
      </w:pPr>
    </w:p>
    <w:p>
      <w:pPr>
        <w:widowControl/>
        <w:wordWrap/>
        <w:adjustRightInd w:val="0"/>
        <w:snapToGrid w:val="0"/>
        <w:spacing w:after="0" w:line="600" w:lineRule="exact"/>
        <w:ind w:right="0"/>
        <w:textAlignment w:val="auto"/>
        <w:outlineLvl w:val="9"/>
        <w:rPr>
          <w:bCs/>
          <w:spacing w:val="0"/>
        </w:rPr>
      </w:pPr>
    </w:p>
    <w:p>
      <w:pPr>
        <w:widowControl/>
        <w:wordWrap/>
        <w:adjustRightInd w:val="0"/>
        <w:snapToGrid w:val="0"/>
        <w:spacing w:after="0" w:line="200" w:lineRule="exact"/>
        <w:ind w:left="0" w:leftChars="0" w:right="0" w:firstLine="0" w:firstLineChars="0"/>
        <w:jc w:val="left"/>
        <w:textAlignment w:val="auto"/>
        <w:outlineLvl w:val="9"/>
        <w:rPr>
          <w:bCs/>
          <w:spacing w:val="0"/>
        </w:rPr>
      </w:pPr>
    </w:p>
    <w:p>
      <w:pPr>
        <w:widowControl/>
        <w:wordWrap/>
        <w:adjustRightInd w:val="0"/>
        <w:snapToGrid w:val="0"/>
        <w:spacing w:after="0" w:line="640" w:lineRule="exact"/>
        <w:ind w:left="-15" w:leftChars="-7" w:right="0" w:firstLine="19" w:firstLineChars="6"/>
        <w:jc w:val="center"/>
        <w:textAlignment w:val="auto"/>
        <w:outlineLvl w:val="9"/>
        <w:rPr>
          <w:rFonts w:ascii="仿宋" w:hAnsi="仿宋" w:eastAsia="仿宋"/>
          <w:bCs/>
          <w:spacing w:val="0"/>
          <w:sz w:val="32"/>
          <w:szCs w:val="32"/>
        </w:rPr>
      </w:pPr>
      <w:r>
        <w:rPr>
          <w:rFonts w:hint="eastAsia" w:ascii="仿宋" w:hAnsi="仿宋" w:eastAsia="仿宋"/>
          <w:bCs/>
          <w:spacing w:val="0"/>
          <w:sz w:val="32"/>
          <w:szCs w:val="32"/>
        </w:rPr>
        <w:t>益赫政发</w:t>
      </w:r>
      <w:r>
        <w:rPr>
          <w:rFonts w:hint="eastAsia" w:ascii="仿宋_GB2312" w:hAnsi="仿宋" w:eastAsia="仿宋_GB2312"/>
          <w:bCs/>
          <w:spacing w:val="0"/>
          <w:sz w:val="32"/>
          <w:szCs w:val="32"/>
        </w:rPr>
        <w:t>〔</w:t>
      </w:r>
      <w:r>
        <w:rPr>
          <w:rFonts w:ascii="仿宋" w:hAnsi="仿宋" w:eastAsia="仿宋"/>
          <w:bCs/>
          <w:spacing w:val="0"/>
          <w:sz w:val="32"/>
          <w:szCs w:val="32"/>
        </w:rPr>
        <w:t>201</w:t>
      </w:r>
      <w:r>
        <w:rPr>
          <w:rFonts w:hint="eastAsia" w:ascii="仿宋" w:hAnsi="仿宋" w:eastAsia="仿宋"/>
          <w:bCs/>
          <w:spacing w:val="0"/>
          <w:sz w:val="32"/>
          <w:szCs w:val="32"/>
          <w:lang w:val="en-US" w:eastAsia="zh-CN"/>
        </w:rPr>
        <w:t>8</w:t>
      </w:r>
      <w:r>
        <w:rPr>
          <w:rFonts w:hint="eastAsia" w:ascii="仿宋_GB2312" w:hAnsi="仿宋" w:eastAsia="仿宋_GB2312"/>
          <w:bCs/>
          <w:spacing w:val="0"/>
          <w:sz w:val="32"/>
          <w:szCs w:val="32"/>
        </w:rPr>
        <w:t>〕</w:t>
      </w:r>
      <w:r>
        <w:rPr>
          <w:rFonts w:hint="eastAsia" w:ascii="仿宋" w:hAnsi="仿宋" w:eastAsia="仿宋"/>
          <w:bCs/>
          <w:spacing w:val="0"/>
          <w:sz w:val="32"/>
          <w:szCs w:val="32"/>
          <w:lang w:val="en-US" w:eastAsia="zh-CN"/>
        </w:rPr>
        <w:t>19</w:t>
      </w:r>
      <w:r>
        <w:rPr>
          <w:rFonts w:hint="eastAsia" w:ascii="仿宋" w:hAnsi="仿宋" w:eastAsia="仿宋"/>
          <w:bCs/>
          <w:spacing w:val="0"/>
          <w:sz w:val="32"/>
          <w:szCs w:val="32"/>
        </w:rPr>
        <w:t>号</w:t>
      </w: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560" w:lineRule="exact"/>
        <w:ind w:left="0" w:leftChars="0" w:right="0" w:firstLine="0" w:firstLineChars="0"/>
        <w:jc w:val="center"/>
        <w:textAlignment w:val="auto"/>
        <w:outlineLvl w:val="9"/>
        <w:rPr>
          <w:rFonts w:hint="eastAsia" w:ascii="方正小标宋简体" w:hAnsi="仿宋" w:eastAsia="方正小标宋简体" w:cs="宋体"/>
          <w:spacing w:val="0"/>
          <w:w w:val="100"/>
          <w:sz w:val="44"/>
          <w:szCs w:val="44"/>
        </w:rPr>
      </w:pPr>
      <w:r>
        <w:rPr>
          <w:rFonts w:hint="eastAsia" w:ascii="方正小标宋简体" w:hAnsi="仿宋" w:eastAsia="方正小标宋简体" w:cs="宋体"/>
          <w:spacing w:val="0"/>
          <w:w w:val="100"/>
          <w:sz w:val="44"/>
          <w:szCs w:val="44"/>
        </w:rPr>
        <w:t>益阳市赫山区人民政府</w:t>
      </w:r>
    </w:p>
    <w:p>
      <w:pPr>
        <w:widowControl/>
        <w:wordWrap/>
        <w:adjustRightInd w:val="0"/>
        <w:snapToGrid w:val="0"/>
        <w:spacing w:after="0" w:line="560" w:lineRule="exact"/>
        <w:ind w:left="0" w:leftChars="0" w:right="0" w:firstLine="0" w:firstLineChars="0"/>
        <w:jc w:val="center"/>
        <w:textAlignment w:val="auto"/>
        <w:outlineLvl w:val="9"/>
        <w:rPr>
          <w:rFonts w:hint="eastAsia" w:ascii="方正小标宋简体" w:hAnsi="方正小标宋简体" w:eastAsia="方正小标宋简体" w:cs="方正小标宋简体"/>
          <w:color w:val="auto"/>
          <w:sz w:val="44"/>
          <w:szCs w:val="44"/>
          <w:shd w:val="clear" w:color="auto" w:fill="FFFFFF"/>
        </w:rPr>
      </w:pPr>
      <w:r>
        <w:rPr>
          <w:rFonts w:hint="eastAsia" w:ascii="方正小标宋简体" w:hAnsi="仿宋" w:eastAsia="方正小标宋简体" w:cs="宋体"/>
          <w:spacing w:val="0"/>
          <w:w w:val="100"/>
          <w:sz w:val="44"/>
          <w:szCs w:val="44"/>
        </w:rPr>
        <w:t>关于印发《</w:t>
      </w:r>
      <w:r>
        <w:rPr>
          <w:rFonts w:hint="eastAsia" w:ascii="方正小标宋简体" w:hAnsi="方正小标宋简体" w:eastAsia="方正小标宋简体" w:cs="方正小标宋简体"/>
          <w:color w:val="auto"/>
          <w:sz w:val="44"/>
          <w:szCs w:val="44"/>
          <w:shd w:val="clear" w:color="auto" w:fill="FFFFFF"/>
        </w:rPr>
        <w:t>赫山区处置电网大面积</w:t>
      </w:r>
    </w:p>
    <w:p>
      <w:pPr>
        <w:widowControl/>
        <w:wordWrap/>
        <w:adjustRightInd w:val="0"/>
        <w:snapToGrid w:val="0"/>
        <w:spacing w:after="0" w:line="560" w:lineRule="exact"/>
        <w:ind w:left="0" w:leftChars="0" w:right="0" w:firstLine="0" w:firstLineChars="0"/>
        <w:jc w:val="center"/>
        <w:textAlignment w:val="auto"/>
        <w:outlineLvl w:val="9"/>
        <w:rPr>
          <w:rFonts w:hint="eastAsia" w:ascii="方正小标宋简体" w:hAnsi="仿宋" w:eastAsia="方正小标宋简体" w:cs="宋体"/>
          <w:spacing w:val="0"/>
          <w:w w:val="100"/>
          <w:sz w:val="44"/>
          <w:szCs w:val="44"/>
        </w:rPr>
      </w:pPr>
      <w:r>
        <w:rPr>
          <w:rFonts w:hint="eastAsia" w:ascii="方正小标宋简体" w:hAnsi="方正小标宋简体" w:eastAsia="方正小标宋简体" w:cs="方正小标宋简体"/>
          <w:color w:val="auto"/>
          <w:sz w:val="44"/>
          <w:szCs w:val="44"/>
          <w:shd w:val="clear" w:color="auto" w:fill="FFFFFF"/>
        </w:rPr>
        <w:t>停电事件应急预案</w:t>
      </w:r>
      <w:r>
        <w:rPr>
          <w:rFonts w:hint="eastAsia" w:ascii="方正小标宋简体" w:hAnsi="仿宋" w:eastAsia="方正小标宋简体" w:cs="宋体"/>
          <w:spacing w:val="0"/>
          <w:w w:val="100"/>
          <w:sz w:val="44"/>
          <w:szCs w:val="44"/>
        </w:rPr>
        <w:t>》的通知</w:t>
      </w:r>
    </w:p>
    <w:p>
      <w:pPr>
        <w:widowControl/>
        <w:wordWrap/>
        <w:adjustRightInd w:val="0"/>
        <w:snapToGrid w:val="0"/>
        <w:spacing w:after="0" w:line="440" w:lineRule="exact"/>
        <w:ind w:left="0" w:leftChars="0" w:right="0"/>
        <w:jc w:val="left"/>
        <w:textAlignment w:val="auto"/>
        <w:outlineLvl w:val="9"/>
        <w:rPr>
          <w:rFonts w:hint="eastAsia" w:ascii="仿宋" w:hAnsi="仿宋" w:eastAsia="仿宋" w:cs="宋体"/>
          <w:spacing w:val="0"/>
          <w:w w:val="100"/>
          <w:sz w:val="32"/>
          <w:szCs w:val="32"/>
        </w:rPr>
      </w:pPr>
    </w:p>
    <w:p>
      <w:pPr>
        <w:widowControl/>
        <w:wordWrap/>
        <w:adjustRightInd w:val="0"/>
        <w:snapToGrid w:val="0"/>
        <w:spacing w:after="0" w:line="490" w:lineRule="exact"/>
        <w:ind w:left="0" w:leftChars="0" w:right="0"/>
        <w:jc w:val="left"/>
        <w:textAlignment w:val="auto"/>
        <w:outlineLvl w:val="9"/>
        <w:rPr>
          <w:rFonts w:hint="eastAsia" w:ascii="仿宋" w:hAnsi="仿宋" w:eastAsia="仿宋" w:cs="宋体"/>
          <w:spacing w:val="0"/>
          <w:w w:val="100"/>
          <w:sz w:val="32"/>
          <w:szCs w:val="32"/>
        </w:rPr>
      </w:pPr>
      <w:r>
        <w:rPr>
          <w:rFonts w:hint="eastAsia" w:ascii="仿宋" w:hAnsi="仿宋" w:eastAsia="仿宋" w:cs="宋体"/>
          <w:spacing w:val="0"/>
          <w:w w:val="100"/>
          <w:sz w:val="32"/>
          <w:szCs w:val="32"/>
        </w:rPr>
        <w:t>各乡、镇人民政府，街道办事处，</w:t>
      </w:r>
      <w:r>
        <w:rPr>
          <w:rFonts w:hint="eastAsia" w:ascii="仿宋" w:hAnsi="仿宋" w:eastAsia="仿宋" w:cs="宋体"/>
          <w:spacing w:val="0"/>
          <w:w w:val="100"/>
          <w:sz w:val="32"/>
          <w:szCs w:val="32"/>
          <w:lang w:val="en-US" w:eastAsia="zh-CN"/>
        </w:rPr>
        <w:t>园</w:t>
      </w:r>
      <w:r>
        <w:rPr>
          <w:rFonts w:hint="eastAsia" w:ascii="仿宋" w:hAnsi="仿宋" w:eastAsia="仿宋" w:cs="宋体"/>
          <w:spacing w:val="0"/>
          <w:w w:val="100"/>
          <w:sz w:val="32"/>
          <w:szCs w:val="32"/>
        </w:rPr>
        <w:t>区管委会，区直及驻区各单位：</w:t>
      </w:r>
    </w:p>
    <w:p>
      <w:pPr>
        <w:widowControl/>
        <w:wordWrap/>
        <w:adjustRightInd w:val="0"/>
        <w:snapToGrid w:val="0"/>
        <w:spacing w:after="0" w:line="490" w:lineRule="exact"/>
        <w:ind w:left="0" w:leftChars="0" w:right="0" w:firstLine="640" w:firstLineChars="200"/>
        <w:jc w:val="left"/>
        <w:textAlignment w:val="auto"/>
        <w:outlineLvl w:val="9"/>
        <w:rPr>
          <w:rFonts w:hint="eastAsia" w:ascii="仿宋" w:hAnsi="仿宋" w:eastAsia="仿宋" w:cs="宋体"/>
          <w:spacing w:val="0"/>
          <w:w w:val="100"/>
          <w:sz w:val="32"/>
          <w:szCs w:val="32"/>
        </w:rPr>
      </w:pPr>
      <w:r>
        <w:rPr>
          <w:rFonts w:hint="eastAsia" w:ascii="仿宋" w:hAnsi="仿宋" w:eastAsia="仿宋" w:cs="宋体"/>
          <w:spacing w:val="0"/>
          <w:w w:val="100"/>
          <w:sz w:val="32"/>
          <w:szCs w:val="32"/>
        </w:rPr>
        <w:t>现将《赫山区处置电网大面积停电事件应急预案》印发给你们，请认真贯彻执行。</w:t>
      </w:r>
    </w:p>
    <w:p>
      <w:pPr>
        <w:widowControl/>
        <w:wordWrap/>
        <w:adjustRightInd w:val="0"/>
        <w:snapToGrid w:val="0"/>
        <w:spacing w:after="0" w:line="560" w:lineRule="exact"/>
        <w:ind w:left="0" w:leftChars="0" w:right="0" w:firstLine="640" w:firstLineChars="200"/>
        <w:textAlignment w:val="auto"/>
        <w:outlineLvl w:val="9"/>
        <w:rPr>
          <w:rFonts w:hint="eastAsia" w:ascii="仿宋" w:hAnsi="仿宋" w:eastAsia="仿宋" w:cs="宋体"/>
          <w:spacing w:val="0"/>
          <w:w w:val="100"/>
          <w:sz w:val="32"/>
          <w:szCs w:val="32"/>
        </w:rPr>
      </w:pPr>
    </w:p>
    <w:p>
      <w:pPr>
        <w:widowControl/>
        <w:wordWrap/>
        <w:adjustRightInd w:val="0"/>
        <w:snapToGrid w:val="0"/>
        <w:spacing w:after="0" w:line="560" w:lineRule="exact"/>
        <w:ind w:left="0" w:leftChars="0" w:right="0" w:firstLine="640" w:firstLineChars="200"/>
        <w:textAlignment w:val="auto"/>
        <w:outlineLvl w:val="9"/>
        <w:rPr>
          <w:rFonts w:hint="eastAsia" w:ascii="仿宋" w:hAnsi="仿宋" w:eastAsia="仿宋" w:cs="宋体"/>
          <w:spacing w:val="0"/>
          <w:w w:val="100"/>
          <w:sz w:val="32"/>
          <w:szCs w:val="32"/>
        </w:rPr>
      </w:pPr>
    </w:p>
    <w:p>
      <w:pPr>
        <w:widowControl/>
        <w:wordWrap/>
        <w:adjustRightInd w:val="0"/>
        <w:snapToGrid w:val="0"/>
        <w:spacing w:after="0" w:line="560" w:lineRule="exact"/>
        <w:ind w:left="0" w:leftChars="0" w:right="0" w:firstLine="3840" w:firstLineChars="1200"/>
        <w:jc w:val="center"/>
        <w:textAlignment w:val="auto"/>
        <w:outlineLvl w:val="9"/>
        <w:rPr>
          <w:rFonts w:hint="eastAsia" w:ascii="仿宋" w:hAnsi="仿宋" w:eastAsia="仿宋" w:cs="宋体"/>
          <w:spacing w:val="0"/>
          <w:w w:val="100"/>
          <w:sz w:val="32"/>
          <w:szCs w:val="32"/>
        </w:rPr>
      </w:pPr>
      <w:r>
        <w:rPr>
          <w:rFonts w:hint="eastAsia" w:ascii="仿宋" w:hAnsi="仿宋" w:eastAsia="仿宋" w:cs="宋体"/>
          <w:spacing w:val="0"/>
          <w:w w:val="100"/>
          <w:sz w:val="32"/>
          <w:szCs w:val="32"/>
        </w:rPr>
        <w:t>益阳市赫山区人民政府</w:t>
      </w:r>
    </w:p>
    <w:p>
      <w:pPr>
        <w:widowControl/>
        <w:wordWrap/>
        <w:adjustRightInd w:val="0"/>
        <w:snapToGrid w:val="0"/>
        <w:spacing w:after="0" w:line="560" w:lineRule="exact"/>
        <w:ind w:left="0" w:leftChars="0" w:right="0" w:firstLine="3840" w:firstLineChars="1200"/>
        <w:jc w:val="center"/>
        <w:textAlignment w:val="auto"/>
        <w:outlineLvl w:val="9"/>
        <w:rPr>
          <w:rFonts w:hint="eastAsia" w:ascii="仿宋" w:hAnsi="仿宋" w:eastAsia="仿宋" w:cs="宋体"/>
          <w:spacing w:val="0"/>
          <w:w w:val="100"/>
          <w:sz w:val="32"/>
          <w:szCs w:val="32"/>
        </w:rPr>
      </w:pPr>
      <w:r>
        <w:rPr>
          <w:rFonts w:hint="eastAsia" w:ascii="仿宋" w:hAnsi="仿宋" w:eastAsia="仿宋" w:cs="宋体"/>
          <w:spacing w:val="0"/>
          <w:w w:val="100"/>
          <w:sz w:val="32"/>
          <w:szCs w:val="32"/>
        </w:rPr>
        <w:t>201</w:t>
      </w:r>
      <w:r>
        <w:rPr>
          <w:rFonts w:hint="eastAsia" w:ascii="仿宋" w:hAnsi="仿宋" w:eastAsia="仿宋" w:cs="宋体"/>
          <w:spacing w:val="0"/>
          <w:w w:val="100"/>
          <w:sz w:val="32"/>
          <w:szCs w:val="32"/>
          <w:lang w:val="en-US" w:eastAsia="zh-CN"/>
        </w:rPr>
        <w:t>8</w:t>
      </w:r>
      <w:r>
        <w:rPr>
          <w:rFonts w:hint="eastAsia" w:ascii="仿宋" w:hAnsi="仿宋" w:eastAsia="仿宋" w:cs="宋体"/>
          <w:spacing w:val="0"/>
          <w:w w:val="100"/>
          <w:sz w:val="32"/>
          <w:szCs w:val="32"/>
        </w:rPr>
        <w:t>年</w:t>
      </w:r>
      <w:r>
        <w:rPr>
          <w:rFonts w:hint="eastAsia" w:ascii="仿宋" w:hAnsi="仿宋" w:eastAsia="仿宋" w:cs="宋体"/>
          <w:spacing w:val="0"/>
          <w:w w:val="100"/>
          <w:sz w:val="32"/>
          <w:szCs w:val="32"/>
          <w:lang w:val="en-US" w:eastAsia="zh-CN"/>
        </w:rPr>
        <w:t>9</w:t>
      </w:r>
      <w:r>
        <w:rPr>
          <w:rFonts w:hint="eastAsia" w:ascii="仿宋" w:hAnsi="仿宋" w:eastAsia="仿宋" w:cs="宋体"/>
          <w:spacing w:val="0"/>
          <w:w w:val="100"/>
          <w:sz w:val="32"/>
          <w:szCs w:val="32"/>
        </w:rPr>
        <w:t>月</w:t>
      </w:r>
      <w:r>
        <w:rPr>
          <w:rFonts w:hint="eastAsia" w:ascii="仿宋" w:hAnsi="仿宋" w:eastAsia="仿宋" w:cs="宋体"/>
          <w:spacing w:val="0"/>
          <w:w w:val="100"/>
          <w:sz w:val="32"/>
          <w:szCs w:val="32"/>
          <w:lang w:val="en-US" w:eastAsia="zh-CN"/>
        </w:rPr>
        <w:t>25</w:t>
      </w:r>
      <w:r>
        <w:rPr>
          <w:rFonts w:hint="eastAsia" w:ascii="仿宋" w:hAnsi="仿宋" w:eastAsia="仿宋" w:cs="宋体"/>
          <w:spacing w:val="0"/>
          <w:w w:val="100"/>
          <w:sz w:val="32"/>
          <w:szCs w:val="32"/>
        </w:rPr>
        <w:t>日</w:t>
      </w:r>
    </w:p>
    <w:p>
      <w:pPr>
        <w:widowControl/>
        <w:wordWrap/>
        <w:adjustRightInd w:val="0"/>
        <w:snapToGrid w:val="0"/>
        <w:spacing w:after="0" w:line="400" w:lineRule="exact"/>
        <w:ind w:left="0" w:leftChars="0" w:right="0" w:firstLine="640" w:firstLineChars="200"/>
        <w:jc w:val="left"/>
        <w:textAlignment w:val="auto"/>
        <w:outlineLvl w:val="9"/>
        <w:rPr>
          <w:rFonts w:hint="eastAsia" w:ascii="仿宋" w:hAnsi="仿宋" w:eastAsia="仿宋" w:cs="宋体"/>
          <w:spacing w:val="0"/>
          <w:w w:val="100"/>
          <w:sz w:val="32"/>
          <w:szCs w:val="32"/>
        </w:rPr>
      </w:pPr>
      <w:r>
        <w:rPr>
          <w:rFonts w:hint="eastAsia" w:ascii="仿宋" w:hAnsi="仿宋" w:eastAsia="仿宋" w:cs="宋体"/>
          <w:spacing w:val="0"/>
          <w:w w:val="100"/>
          <w:sz w:val="32"/>
          <w:szCs w:val="32"/>
        </w:rPr>
        <w:t>（此件主动公开）</w:t>
      </w:r>
    </w:p>
    <w:p>
      <w:pPr>
        <w:jc w:val="center"/>
        <w:rPr>
          <w:rFonts w:hint="eastAsia" w:ascii="黑体" w:hAnsi="黑体" w:eastAsia="黑体" w:cs="黑体"/>
          <w:b w:val="0"/>
          <w:bCs w:val="0"/>
          <w:color w:val="auto"/>
          <w:sz w:val="44"/>
          <w:szCs w:val="44"/>
          <w:lang w:eastAsia="zh-CN"/>
        </w:rPr>
      </w:pPr>
      <w:r>
        <w:rPr>
          <w:rFonts w:hint="eastAsia" w:ascii="黑体" w:hAnsi="黑体" w:eastAsia="黑体" w:cs="黑体"/>
          <w:b w:val="0"/>
          <w:bCs w:val="0"/>
          <w:color w:val="auto"/>
          <w:sz w:val="44"/>
          <w:szCs w:val="44"/>
          <w:lang w:eastAsia="zh-CN"/>
        </w:rPr>
        <w:t>目</w:t>
      </w:r>
      <w:r>
        <w:rPr>
          <w:rFonts w:hint="eastAsia" w:ascii="黑体" w:hAnsi="黑体" w:eastAsia="黑体" w:cs="黑体"/>
          <w:b w:val="0"/>
          <w:bCs w:val="0"/>
          <w:color w:val="auto"/>
          <w:sz w:val="44"/>
          <w:szCs w:val="44"/>
          <w:lang w:val="en-US" w:eastAsia="zh-CN"/>
        </w:rPr>
        <w:t xml:space="preserve">    </w:t>
      </w:r>
      <w:r>
        <w:rPr>
          <w:rFonts w:hint="eastAsia" w:ascii="黑体" w:hAnsi="黑体" w:eastAsia="黑体" w:cs="黑体"/>
          <w:b w:val="0"/>
          <w:bCs w:val="0"/>
          <w:color w:val="auto"/>
          <w:sz w:val="44"/>
          <w:szCs w:val="44"/>
          <w:lang w:eastAsia="zh-CN"/>
        </w:rPr>
        <w:t>录</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1.总则</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lang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1.1</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编制目的</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1.2</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编制依据</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1.3</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适用范围</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1.4</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工作原则</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2.</w:t>
      </w:r>
      <w:r>
        <w:rPr>
          <w:rFonts w:hint="eastAsia" w:ascii="黑体" w:hAnsi="黑体" w:eastAsia="黑体" w:cs="黑体"/>
          <w:color w:val="auto"/>
          <w:sz w:val="32"/>
          <w:szCs w:val="32"/>
          <w:lang w:val="en-US" w:eastAsia="zh-CN"/>
        </w:rPr>
        <w:t>组织机构</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2.1 </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应急机构</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2.2 应急</w:t>
      </w:r>
      <w:r>
        <w:rPr>
          <w:rFonts w:hint="eastAsia" w:ascii="仿宋" w:hAnsi="仿宋" w:eastAsia="仿宋" w:cs="仿宋"/>
          <w:color w:val="auto"/>
          <w:sz w:val="32"/>
          <w:szCs w:val="32"/>
          <w:lang w:val="en-US" w:eastAsia="zh-CN"/>
        </w:rPr>
        <w:t>指挥部成员单位</w:t>
      </w:r>
      <w:r>
        <w:rPr>
          <w:rFonts w:hint="eastAsia" w:ascii="仿宋" w:hAnsi="仿宋" w:eastAsia="仿宋" w:cs="仿宋"/>
          <w:color w:val="auto"/>
          <w:sz w:val="32"/>
          <w:szCs w:val="32"/>
        </w:rPr>
        <w:t>职责</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2.3 </w:t>
      </w:r>
      <w:r>
        <w:rPr>
          <w:rFonts w:hint="eastAsia" w:ascii="仿宋" w:hAnsi="仿宋" w:eastAsia="仿宋" w:cs="仿宋"/>
          <w:color w:val="auto"/>
          <w:sz w:val="32"/>
          <w:szCs w:val="32"/>
          <w:lang w:val="en-US" w:eastAsia="zh-CN"/>
        </w:rPr>
        <w:t>地方应急指挥机构</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3.</w:t>
      </w:r>
      <w:r>
        <w:rPr>
          <w:rFonts w:hint="eastAsia" w:ascii="黑体" w:hAnsi="黑体" w:eastAsia="黑体" w:cs="黑体"/>
          <w:color w:val="auto"/>
          <w:sz w:val="32"/>
          <w:szCs w:val="32"/>
          <w:lang w:val="en-US" w:eastAsia="zh-CN"/>
        </w:rPr>
        <w:t>事件分级</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3.1 </w:t>
      </w:r>
      <w:r>
        <w:rPr>
          <w:rFonts w:hint="eastAsia" w:ascii="仿宋" w:hAnsi="仿宋" w:eastAsia="仿宋" w:cs="仿宋"/>
          <w:color w:val="auto"/>
          <w:sz w:val="32"/>
          <w:szCs w:val="32"/>
          <w:lang w:val="en-US" w:eastAsia="zh-CN"/>
        </w:rPr>
        <w:t>特别重大大面积停电事件</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3.2 </w:t>
      </w:r>
      <w:r>
        <w:rPr>
          <w:rFonts w:hint="eastAsia" w:ascii="仿宋" w:hAnsi="仿宋" w:eastAsia="仿宋" w:cs="仿宋"/>
          <w:color w:val="auto"/>
          <w:sz w:val="32"/>
          <w:szCs w:val="32"/>
          <w:lang w:val="en-US" w:eastAsia="zh-CN"/>
        </w:rPr>
        <w:t>重大大面积停电事件</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3.3 较大大面积停电事件</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3.4 一般大面积停电事件</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4.应急响应</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4.1 响应分级</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4.2 </w:t>
      </w:r>
      <w:r>
        <w:rPr>
          <w:rFonts w:hint="eastAsia" w:ascii="仿宋" w:hAnsi="仿宋" w:eastAsia="仿宋" w:cs="仿宋"/>
          <w:color w:val="auto"/>
          <w:sz w:val="32"/>
          <w:szCs w:val="32"/>
          <w:lang w:val="en-US" w:eastAsia="zh-CN"/>
        </w:rPr>
        <w:t>响应措施</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4.3</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应急</w:t>
      </w:r>
      <w:r>
        <w:rPr>
          <w:rFonts w:hint="eastAsia" w:ascii="仿宋" w:hAnsi="仿宋" w:eastAsia="仿宋" w:cs="仿宋"/>
          <w:color w:val="auto"/>
          <w:sz w:val="32"/>
          <w:szCs w:val="32"/>
          <w:lang w:val="en-US" w:eastAsia="zh-CN"/>
        </w:rPr>
        <w:t>结束</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5.</w:t>
      </w:r>
      <w:r>
        <w:rPr>
          <w:rFonts w:hint="eastAsia" w:ascii="黑体" w:hAnsi="黑体" w:eastAsia="黑体" w:cs="黑体"/>
          <w:color w:val="auto"/>
          <w:sz w:val="32"/>
          <w:szCs w:val="32"/>
          <w:lang w:val="en-US" w:eastAsia="zh-CN"/>
        </w:rPr>
        <w:t>后期处置</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5.1</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处置</w:t>
      </w:r>
      <w:r>
        <w:rPr>
          <w:rFonts w:hint="eastAsia" w:ascii="仿宋" w:hAnsi="仿宋" w:eastAsia="仿宋" w:cs="仿宋"/>
          <w:color w:val="auto"/>
          <w:sz w:val="32"/>
          <w:szCs w:val="32"/>
          <w:lang w:val="en-US" w:eastAsia="zh-CN"/>
        </w:rPr>
        <w:t>评估</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5.2</w:t>
      </w:r>
      <w:r>
        <w:rPr>
          <w:rFonts w:hint="eastAsia" w:ascii="仿宋" w:hAnsi="仿宋" w:eastAsia="仿宋" w:cs="仿宋"/>
          <w:color w:val="auto"/>
          <w:sz w:val="32"/>
          <w:szCs w:val="32"/>
          <w:lang w:val="en-US" w:eastAsia="zh-CN"/>
        </w:rPr>
        <w:t xml:space="preserve"> 事件调查</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5.3 善后处置</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5.4 恢复重建</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6.保障</w:t>
      </w:r>
      <w:r>
        <w:rPr>
          <w:rFonts w:hint="eastAsia" w:ascii="黑体" w:hAnsi="黑体" w:eastAsia="黑体" w:cs="黑体"/>
          <w:color w:val="auto"/>
          <w:sz w:val="32"/>
          <w:szCs w:val="32"/>
          <w:lang w:val="en-US" w:eastAsia="zh-CN"/>
        </w:rPr>
        <w:t>措施</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6.1 </w:t>
      </w:r>
      <w:r>
        <w:rPr>
          <w:rFonts w:hint="eastAsia" w:ascii="仿宋" w:hAnsi="仿宋" w:eastAsia="仿宋" w:cs="仿宋"/>
          <w:color w:val="auto"/>
          <w:sz w:val="32"/>
          <w:szCs w:val="32"/>
          <w:lang w:val="en-US" w:eastAsia="zh-CN"/>
        </w:rPr>
        <w:t>队伍保障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6.2 </w:t>
      </w:r>
      <w:r>
        <w:rPr>
          <w:rFonts w:hint="eastAsia" w:ascii="仿宋" w:hAnsi="仿宋" w:eastAsia="仿宋" w:cs="仿宋"/>
          <w:color w:val="auto"/>
          <w:sz w:val="32"/>
          <w:szCs w:val="32"/>
          <w:lang w:val="en-US" w:eastAsia="zh-CN"/>
        </w:rPr>
        <w:t>装备物资保障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6.3 </w:t>
      </w:r>
      <w:r>
        <w:rPr>
          <w:rFonts w:hint="eastAsia" w:ascii="仿宋" w:hAnsi="仿宋" w:eastAsia="仿宋" w:cs="仿宋"/>
          <w:color w:val="auto"/>
          <w:sz w:val="32"/>
          <w:szCs w:val="32"/>
          <w:lang w:val="en-US" w:eastAsia="zh-CN"/>
        </w:rPr>
        <w:t>通信、交通与运输保障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6.4 技术保障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6.5 应急电源保障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6.6 资金保障</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7.</w:t>
      </w:r>
      <w:r>
        <w:rPr>
          <w:rFonts w:hint="eastAsia" w:ascii="黑体" w:hAnsi="黑体" w:eastAsia="黑体" w:cs="黑体"/>
          <w:color w:val="auto"/>
          <w:sz w:val="32"/>
          <w:szCs w:val="32"/>
          <w:lang w:val="en-US" w:eastAsia="zh-CN"/>
        </w:rPr>
        <w:t>宣传、培训和演习</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7.1 宣传</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7.2 </w:t>
      </w:r>
      <w:r>
        <w:rPr>
          <w:rFonts w:hint="eastAsia" w:ascii="仿宋" w:hAnsi="仿宋" w:eastAsia="仿宋" w:cs="仿宋"/>
          <w:color w:val="auto"/>
          <w:sz w:val="32"/>
          <w:szCs w:val="32"/>
          <w:lang w:val="en-US" w:eastAsia="zh-CN"/>
        </w:rPr>
        <w:t>培训</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7.3 演习</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rPr>
        <w:t>8.</w:t>
      </w:r>
      <w:r>
        <w:rPr>
          <w:rFonts w:hint="eastAsia" w:ascii="黑体" w:hAnsi="黑体" w:eastAsia="黑体" w:cs="黑体"/>
          <w:color w:val="auto"/>
          <w:sz w:val="32"/>
          <w:szCs w:val="32"/>
          <w:lang w:val="en-US" w:eastAsia="zh-CN"/>
        </w:rPr>
        <w:t>信息发布</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9.附则</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9</w:t>
      </w:r>
      <w:r>
        <w:rPr>
          <w:rFonts w:hint="eastAsia" w:ascii="仿宋" w:hAnsi="仿宋" w:eastAsia="仿宋" w:cs="仿宋"/>
          <w:color w:val="auto"/>
          <w:sz w:val="32"/>
          <w:szCs w:val="32"/>
        </w:rPr>
        <w:t>.1 预案管理</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9</w:t>
      </w:r>
      <w:r>
        <w:rPr>
          <w:rFonts w:hint="eastAsia" w:ascii="仿宋" w:hAnsi="仿宋" w:eastAsia="仿宋" w:cs="仿宋"/>
          <w:color w:val="auto"/>
          <w:sz w:val="32"/>
          <w:szCs w:val="32"/>
        </w:rPr>
        <w:t xml:space="preserve">.2 </w:t>
      </w:r>
      <w:r>
        <w:rPr>
          <w:rFonts w:hint="eastAsia" w:ascii="仿宋" w:hAnsi="仿宋" w:eastAsia="仿宋" w:cs="仿宋"/>
          <w:color w:val="auto"/>
          <w:sz w:val="32"/>
          <w:szCs w:val="32"/>
          <w:lang w:val="en-US" w:eastAsia="zh-CN"/>
        </w:rPr>
        <w:t>预案</w:t>
      </w:r>
      <w:r>
        <w:rPr>
          <w:rFonts w:hint="eastAsia" w:ascii="仿宋" w:hAnsi="仿宋" w:eastAsia="仿宋" w:cs="仿宋"/>
          <w:color w:val="auto"/>
          <w:sz w:val="32"/>
          <w:szCs w:val="32"/>
        </w:rPr>
        <w:t>解释</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9</w:t>
      </w:r>
      <w:r>
        <w:rPr>
          <w:rFonts w:hint="eastAsia" w:ascii="仿宋" w:hAnsi="仿宋" w:eastAsia="仿宋" w:cs="仿宋"/>
          <w:color w:val="auto"/>
          <w:sz w:val="32"/>
          <w:szCs w:val="32"/>
        </w:rPr>
        <w:t>.3 预案实施</w:t>
      </w:r>
      <w:r>
        <w:rPr>
          <w:rFonts w:hint="eastAsia" w:ascii="仿宋" w:hAnsi="仿宋" w:eastAsia="仿宋" w:cs="仿宋"/>
          <w:color w:val="auto"/>
          <w:sz w:val="32"/>
          <w:szCs w:val="32"/>
          <w:lang w:val="en-US" w:eastAsia="zh-CN"/>
        </w:rPr>
        <w:t>时间</w:t>
      </w:r>
    </w:p>
    <w:p>
      <w:pPr>
        <w:adjustRightInd/>
        <w:snapToGrid/>
        <w:spacing w:after="0"/>
        <w:jc w:val="center"/>
        <w:rPr>
          <w:rFonts w:hint="eastAsia" w:ascii="方正小标宋简体" w:hAnsi="方正小标宋简体" w:eastAsia="方正小标宋简体" w:cs="方正小标宋简体"/>
          <w:color w:val="auto"/>
          <w:sz w:val="44"/>
          <w:szCs w:val="44"/>
          <w:shd w:val="clear" w:color="auto" w:fill="FFFFFF"/>
        </w:rPr>
      </w:pPr>
      <w:r>
        <w:rPr>
          <w:rFonts w:hint="eastAsia" w:ascii="方正小标宋简体" w:hAnsi="方正小标宋简体" w:eastAsia="方正小标宋简体" w:cs="方正小标宋简体"/>
          <w:color w:val="auto"/>
          <w:sz w:val="44"/>
          <w:szCs w:val="44"/>
          <w:shd w:val="clear" w:color="auto" w:fill="FFFFFF"/>
        </w:rPr>
        <w:br w:type="page"/>
      </w:r>
      <w:r>
        <w:rPr>
          <w:rFonts w:hint="eastAsia" w:ascii="方正小标宋简体" w:hAnsi="方正小标宋简体" w:eastAsia="方正小标宋简体" w:cs="方正小标宋简体"/>
          <w:color w:val="auto"/>
          <w:sz w:val="44"/>
          <w:szCs w:val="44"/>
          <w:shd w:val="clear" w:color="auto" w:fill="FFFFFF"/>
        </w:rPr>
        <w:t>赫山区处置电网大面积停电事件应急预案</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shd w:val="clear" w:color="auto" w:fill="FFFFFF"/>
        </w:rPr>
      </w:pPr>
    </w:p>
    <w:p>
      <w:pPr>
        <w:widowControl w:val="0"/>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shd w:val="clear" w:color="auto" w:fill="FFFFFF"/>
        </w:rPr>
        <w:t>1</w:t>
      </w:r>
      <w:r>
        <w:rPr>
          <w:rFonts w:hint="eastAsia" w:ascii="黑体" w:hAnsi="黑体" w:eastAsia="黑体" w:cs="黑体"/>
          <w:color w:val="auto"/>
          <w:sz w:val="32"/>
          <w:szCs w:val="32"/>
          <w:shd w:val="clear" w:color="auto" w:fill="FFFFFF"/>
          <w:lang w:val="en-US" w:eastAsia="zh-CN"/>
        </w:rPr>
        <w:t>.</w:t>
      </w:r>
      <w:r>
        <w:rPr>
          <w:rFonts w:hint="eastAsia" w:ascii="黑体" w:hAnsi="黑体" w:eastAsia="黑体" w:cs="黑体"/>
          <w:color w:val="auto"/>
          <w:sz w:val="32"/>
          <w:szCs w:val="32"/>
          <w:shd w:val="clear" w:color="auto" w:fill="FFFFFF"/>
        </w:rPr>
        <w:t>总则</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编制目的</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正确、有效</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快速处理大面积停电事件，最大</w:t>
      </w:r>
      <w:r>
        <w:rPr>
          <w:rFonts w:hint="eastAsia" w:ascii="仿宋" w:hAnsi="仿宋" w:eastAsia="仿宋" w:cs="仿宋"/>
          <w:color w:val="auto"/>
          <w:sz w:val="32"/>
          <w:szCs w:val="32"/>
          <w:lang w:val="en-US" w:eastAsia="zh-CN"/>
        </w:rPr>
        <w:t>限</w:t>
      </w:r>
      <w:r>
        <w:rPr>
          <w:rFonts w:hint="eastAsia" w:ascii="仿宋" w:hAnsi="仿宋" w:eastAsia="仿宋" w:cs="仿宋"/>
          <w:color w:val="auto"/>
          <w:sz w:val="32"/>
          <w:szCs w:val="32"/>
        </w:rPr>
        <w:t>度地减少大面积停电造成的影响和损失，维护社会</w:t>
      </w:r>
      <w:r>
        <w:rPr>
          <w:rFonts w:hint="eastAsia" w:ascii="仿宋" w:hAnsi="仿宋" w:eastAsia="仿宋" w:cs="仿宋"/>
          <w:color w:val="auto"/>
          <w:sz w:val="32"/>
          <w:szCs w:val="32"/>
          <w:lang w:val="en-US" w:eastAsia="zh-CN"/>
        </w:rPr>
        <w:t>大局</w:t>
      </w:r>
      <w:r>
        <w:rPr>
          <w:rFonts w:hint="eastAsia" w:ascii="仿宋" w:hAnsi="仿宋" w:eastAsia="仿宋" w:cs="仿宋"/>
          <w:color w:val="auto"/>
          <w:sz w:val="32"/>
          <w:szCs w:val="32"/>
        </w:rPr>
        <w:t>稳定和人民</w:t>
      </w:r>
      <w:r>
        <w:rPr>
          <w:rFonts w:hint="eastAsia" w:ascii="仿宋" w:hAnsi="仿宋" w:eastAsia="仿宋" w:cs="仿宋"/>
          <w:color w:val="auto"/>
          <w:sz w:val="32"/>
          <w:szCs w:val="32"/>
          <w:lang w:val="en-US" w:eastAsia="zh-CN"/>
        </w:rPr>
        <w:t>群众</w:t>
      </w:r>
      <w:r>
        <w:rPr>
          <w:rFonts w:hint="eastAsia" w:ascii="仿宋" w:hAnsi="仿宋" w:eastAsia="仿宋" w:cs="仿宋"/>
          <w:color w:val="auto"/>
          <w:sz w:val="32"/>
          <w:szCs w:val="32"/>
        </w:rPr>
        <w:t>生命财产安全。</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编制依据</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依据《中华人民共和国安全生产法》《中华人民共和国电力法》《国家突发公共事件总体应急预案》《国家处置电网大面积停电事件应急预案》和《赫山区突发事件总体应急预案》，制定本预案。</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1.3</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适用范围</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1.3.1</w:t>
      </w:r>
      <w:r>
        <w:rPr>
          <w:rFonts w:hint="eastAsia" w:ascii="仿宋" w:hAnsi="仿宋" w:eastAsia="仿宋" w:cs="仿宋"/>
          <w:color w:val="auto"/>
          <w:sz w:val="32"/>
          <w:szCs w:val="32"/>
        </w:rPr>
        <w:t>本预案适用于</w:t>
      </w:r>
      <w:r>
        <w:rPr>
          <w:rFonts w:hint="eastAsia" w:ascii="仿宋" w:hAnsi="仿宋" w:eastAsia="仿宋" w:cs="仿宋"/>
          <w:color w:val="auto"/>
          <w:sz w:val="32"/>
          <w:szCs w:val="32"/>
          <w:lang w:val="en-US" w:eastAsia="zh-CN"/>
        </w:rPr>
        <w:t>全</w:t>
      </w:r>
      <w:r>
        <w:rPr>
          <w:rFonts w:hint="eastAsia" w:ascii="仿宋" w:hAnsi="仿宋" w:eastAsia="仿宋" w:cs="仿宋"/>
          <w:color w:val="auto"/>
          <w:sz w:val="32"/>
          <w:szCs w:val="32"/>
        </w:rPr>
        <w:t>区应对和处理因电力生产</w:t>
      </w:r>
      <w:r>
        <w:rPr>
          <w:rFonts w:hint="eastAsia" w:ascii="仿宋" w:hAnsi="仿宋" w:eastAsia="仿宋" w:cs="仿宋"/>
          <w:color w:val="auto"/>
          <w:sz w:val="32"/>
          <w:szCs w:val="32"/>
          <w:lang w:val="en-US" w:eastAsia="zh-CN"/>
        </w:rPr>
        <w:t>一般</w:t>
      </w:r>
      <w:r>
        <w:rPr>
          <w:rFonts w:hint="eastAsia" w:ascii="仿宋" w:hAnsi="仿宋" w:eastAsia="仿宋" w:cs="仿宋"/>
          <w:color w:val="auto"/>
          <w:sz w:val="32"/>
          <w:szCs w:val="32"/>
        </w:rPr>
        <w:t>以上事故、电力设施大范围破坏、严重自然灾害、电力供应持续危机等引起的对全区安全和社会稳定以及人民群众生产生活构成重大影响和严重威胁的大面积停电事件。</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1.3.</w:t>
      </w:r>
      <w:r>
        <w:rPr>
          <w:rFonts w:hint="eastAsia" w:ascii="仿宋" w:hAnsi="仿宋" w:eastAsia="仿宋" w:cs="仿宋"/>
          <w:color w:val="auto"/>
          <w:sz w:val="32"/>
          <w:szCs w:val="32"/>
        </w:rPr>
        <w:t>2本预案用于规范在电网发生大面积停电事件</w:t>
      </w:r>
      <w:r>
        <w:rPr>
          <w:rFonts w:hint="eastAsia" w:ascii="仿宋" w:hAnsi="仿宋" w:eastAsia="仿宋" w:cs="仿宋"/>
          <w:color w:val="auto"/>
          <w:sz w:val="32"/>
          <w:szCs w:val="32"/>
          <w:lang w:val="en-US" w:eastAsia="zh-CN"/>
        </w:rPr>
        <w:t>时</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全区各级</w:t>
      </w:r>
      <w:r>
        <w:rPr>
          <w:rFonts w:hint="eastAsia" w:ascii="仿宋" w:hAnsi="仿宋" w:eastAsia="仿宋" w:cs="仿宋"/>
          <w:color w:val="auto"/>
          <w:sz w:val="32"/>
          <w:szCs w:val="32"/>
        </w:rPr>
        <w:t>各有关部门组织开展社会救援、事故抢险与处置、电力供应恢复等工作。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1.3.</w:t>
      </w:r>
      <w:r>
        <w:rPr>
          <w:rFonts w:hint="eastAsia" w:ascii="仿宋" w:hAnsi="仿宋" w:eastAsia="仿宋" w:cs="仿宋"/>
          <w:color w:val="auto"/>
          <w:sz w:val="32"/>
          <w:szCs w:val="32"/>
        </w:rPr>
        <w:t>3本预案中大面积停电是指电力生产受严重自然灾害影响或发生</w:t>
      </w:r>
      <w:r>
        <w:rPr>
          <w:rFonts w:hint="eastAsia" w:ascii="仿宋" w:hAnsi="仿宋" w:eastAsia="仿宋" w:cs="仿宋"/>
          <w:color w:val="auto"/>
          <w:sz w:val="32"/>
          <w:szCs w:val="32"/>
          <w:lang w:val="en-US" w:eastAsia="zh-CN"/>
        </w:rPr>
        <w:t>一般</w:t>
      </w:r>
      <w:r>
        <w:rPr>
          <w:rFonts w:hint="eastAsia" w:ascii="仿宋" w:hAnsi="仿宋" w:eastAsia="仿宋" w:cs="仿宋"/>
          <w:color w:val="auto"/>
          <w:sz w:val="32"/>
          <w:szCs w:val="32"/>
        </w:rPr>
        <w:t>以上事故，引起连锁反应，造成全区大面积停电事件。</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1.4</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工作原则</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1.4.</w:t>
      </w:r>
      <w:r>
        <w:rPr>
          <w:rFonts w:hint="eastAsia" w:ascii="仿宋" w:hAnsi="仿宋" w:eastAsia="仿宋" w:cs="仿宋"/>
          <w:color w:val="auto"/>
          <w:sz w:val="32"/>
          <w:szCs w:val="32"/>
        </w:rPr>
        <w:t>1预防为主。坚持“安全第一、预防为主”的方针，加强电力安全管理，落实事故预防和隐患控制措施，有效防止电力生产事故发生；加强电力设施保护宣传和行政执法</w:t>
      </w:r>
      <w:r>
        <w:rPr>
          <w:rFonts w:hint="eastAsia" w:ascii="仿宋" w:hAnsi="仿宋" w:eastAsia="仿宋" w:cs="仿宋"/>
          <w:color w:val="auto"/>
          <w:sz w:val="32"/>
          <w:szCs w:val="32"/>
          <w:lang w:val="en-US" w:eastAsia="zh-CN"/>
        </w:rPr>
        <w:t>工作</w:t>
      </w:r>
      <w:r>
        <w:rPr>
          <w:rFonts w:hint="eastAsia" w:ascii="仿宋" w:hAnsi="仿宋" w:eastAsia="仿宋" w:cs="仿宋"/>
          <w:color w:val="auto"/>
          <w:sz w:val="32"/>
          <w:szCs w:val="32"/>
        </w:rPr>
        <w:t>，提高公众保护电力设施的意识；协调发电燃料供给，规范电力市场秩序，避免发生电力供应危机；开展大面积停电恢复控制研究，制订科学有效的电网恢复预案；开展停电救援和紧急处置演习，提高对大面积停电事件处理和应急救援综合处置能力。</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1.4.</w:t>
      </w:r>
      <w:r>
        <w:rPr>
          <w:rFonts w:hint="eastAsia" w:ascii="仿宋" w:hAnsi="仿宋" w:eastAsia="仿宋" w:cs="仿宋"/>
          <w:color w:val="auto"/>
          <w:sz w:val="32"/>
          <w:szCs w:val="32"/>
        </w:rPr>
        <w:t>2统一指挥。在全区统一指挥和协调下，通过应急指挥机构和电网调度机构，组织开展事故处理、事故抢险、电网恢复、应急救援、维护社会稳定、恢复生产等各项应急工作。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1.4.</w:t>
      </w:r>
      <w:r>
        <w:rPr>
          <w:rFonts w:hint="eastAsia" w:ascii="仿宋" w:hAnsi="仿宋" w:eastAsia="仿宋" w:cs="仿宋"/>
          <w:color w:val="auto"/>
          <w:sz w:val="32"/>
          <w:szCs w:val="32"/>
        </w:rPr>
        <w:t>3分工负责。按照分层分区、统一协调、各负其责的原则建立事故应急处理体系。电网企业按照电网结构和调度管辖范围，制订和完善电网应急处理和恢复预案，保证电网尽快恢复供电。发电企业完善“保厂用电”措施，确保机组的启动能力和电厂自身安全。电力用户根据重要程度，自备必要的保安措施，避免在突然停电情况下发生次生灾害。各乡镇（街道、园区）和区</w:t>
      </w:r>
      <w:r>
        <w:rPr>
          <w:rFonts w:hint="eastAsia" w:ascii="仿宋" w:hAnsi="仿宋" w:eastAsia="仿宋" w:cs="仿宋"/>
          <w:color w:val="auto"/>
          <w:sz w:val="32"/>
          <w:szCs w:val="32"/>
          <w:lang w:val="en-US" w:eastAsia="zh-CN"/>
        </w:rPr>
        <w:t>直及驻区</w:t>
      </w:r>
      <w:r>
        <w:rPr>
          <w:rFonts w:hint="eastAsia" w:ascii="仿宋" w:hAnsi="仿宋" w:eastAsia="仿宋" w:cs="仿宋"/>
          <w:color w:val="auto"/>
          <w:sz w:val="32"/>
          <w:szCs w:val="32"/>
        </w:rPr>
        <w:t>有关部门要按各自职责，组织做好电网大面积停电事件应急准备和处置工作。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1.4.</w:t>
      </w:r>
      <w:r>
        <w:rPr>
          <w:rFonts w:hint="eastAsia" w:ascii="仿宋" w:hAnsi="仿宋" w:eastAsia="仿宋" w:cs="仿宋"/>
          <w:color w:val="auto"/>
          <w:sz w:val="32"/>
          <w:szCs w:val="32"/>
        </w:rPr>
        <w:t>4保证重点。在电网事故处理和控制中，将保证大电网的安全放在第一位，采取各种必要手段，防止事故范围进一步扩大，防止发生系统性崩溃和瓦解。在电网恢复中，优先保证重要电厂厂用电源和主干网架、重要输变电设备恢复，提高整个系统恢复速度。在供电恢复中，优先考虑对重点地区、重要用户恢复供电，尽快恢复社会正常秩序。</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2</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组织机构</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区应急机构</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2.1.1电网大面积停电应急指挥部</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成立赫山区电网大面积停电事件应急指挥部（以下简称</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应急指挥部），由分管电力的副区长任指挥长，区政府办</w:t>
      </w:r>
      <w:r>
        <w:rPr>
          <w:rFonts w:hint="eastAsia" w:ascii="仿宋" w:hAnsi="仿宋" w:eastAsia="仿宋" w:cs="仿宋"/>
          <w:color w:val="auto"/>
          <w:sz w:val="32"/>
          <w:szCs w:val="32"/>
          <w:lang w:val="en-US" w:eastAsia="zh-CN"/>
        </w:rPr>
        <w:t>协</w:t>
      </w:r>
      <w:r>
        <w:rPr>
          <w:rFonts w:hint="eastAsia" w:ascii="仿宋" w:hAnsi="仿宋" w:eastAsia="仿宋" w:cs="仿宋"/>
          <w:color w:val="auto"/>
          <w:sz w:val="32"/>
          <w:szCs w:val="32"/>
        </w:rPr>
        <w:t>管电力的副主任、赫山</w:t>
      </w:r>
      <w:r>
        <w:rPr>
          <w:rFonts w:hint="eastAsia" w:ascii="仿宋" w:hAnsi="仿宋" w:eastAsia="仿宋" w:cs="仿宋"/>
          <w:color w:val="auto"/>
          <w:sz w:val="32"/>
          <w:szCs w:val="32"/>
          <w:lang w:val="en-US" w:eastAsia="zh-CN"/>
        </w:rPr>
        <w:t>供电</w:t>
      </w:r>
      <w:r>
        <w:rPr>
          <w:rFonts w:hint="eastAsia" w:ascii="仿宋" w:hAnsi="仿宋" w:eastAsia="仿宋" w:cs="仿宋"/>
          <w:color w:val="auto"/>
          <w:sz w:val="32"/>
          <w:szCs w:val="32"/>
        </w:rPr>
        <w:t>分公司总经理</w:t>
      </w:r>
      <w:r>
        <w:rPr>
          <w:rFonts w:hint="eastAsia" w:ascii="仿宋" w:hAnsi="仿宋" w:eastAsia="仿宋" w:cs="仿宋"/>
          <w:color w:val="auto"/>
          <w:sz w:val="32"/>
          <w:szCs w:val="32"/>
          <w:lang w:val="en-US" w:eastAsia="zh-CN"/>
        </w:rPr>
        <w:t>任</w:t>
      </w:r>
      <w:r>
        <w:rPr>
          <w:rFonts w:hint="eastAsia" w:ascii="仿宋" w:hAnsi="仿宋" w:eastAsia="仿宋" w:cs="仿宋"/>
          <w:color w:val="auto"/>
          <w:sz w:val="32"/>
          <w:szCs w:val="32"/>
        </w:rPr>
        <w:t>副指挥长，区委宣传部（区新闻信息中心）、赫山公安分局、区发改局、区工信局、区民政局、区财政局、区住建局、区交通局、区水务局、区商务局、区卫计局、区安监局、</w:t>
      </w:r>
      <w:r>
        <w:rPr>
          <w:rFonts w:hint="eastAsia" w:ascii="仿宋" w:hAnsi="仿宋" w:eastAsia="仿宋" w:cs="仿宋"/>
          <w:color w:val="auto"/>
          <w:sz w:val="32"/>
          <w:szCs w:val="32"/>
          <w:lang w:val="en-US" w:eastAsia="zh-CN"/>
        </w:rPr>
        <w:t>赫山交警</w:t>
      </w:r>
      <w:r>
        <w:rPr>
          <w:rFonts w:hint="eastAsia" w:ascii="仿宋" w:hAnsi="仿宋" w:eastAsia="仿宋" w:cs="仿宋"/>
          <w:color w:val="auto"/>
          <w:sz w:val="32"/>
          <w:szCs w:val="32"/>
        </w:rPr>
        <w:t>大队、赫山消防大队、赫山国土分局、区气象局、赫山供电分公司等单位负责人为成员，统一领导指挥大面积停电事件应急处置工作。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2.1.2</w:t>
      </w:r>
      <w:r>
        <w:rPr>
          <w:rFonts w:hint="eastAsia" w:ascii="仿宋" w:hAnsi="仿宋" w:eastAsia="仿宋" w:cs="仿宋"/>
          <w:color w:val="auto"/>
          <w:sz w:val="32"/>
          <w:szCs w:val="32"/>
          <w:lang w:val="en-US" w:eastAsia="zh-CN"/>
        </w:rPr>
        <w:t>区应急</w:t>
      </w:r>
      <w:r>
        <w:rPr>
          <w:rFonts w:hint="eastAsia" w:ascii="仿宋" w:hAnsi="仿宋" w:eastAsia="仿宋" w:cs="仿宋"/>
          <w:color w:val="auto"/>
          <w:sz w:val="32"/>
          <w:szCs w:val="32"/>
        </w:rPr>
        <w:t>指挥部职责</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（1）统一领导</w:t>
      </w:r>
      <w:r>
        <w:rPr>
          <w:rFonts w:hint="eastAsia" w:ascii="仿宋" w:hAnsi="仿宋" w:eastAsia="仿宋" w:cs="仿宋"/>
          <w:color w:val="auto"/>
          <w:sz w:val="32"/>
          <w:szCs w:val="32"/>
          <w:lang w:val="en-US" w:eastAsia="zh-CN"/>
        </w:rPr>
        <w:t>全</w:t>
      </w:r>
      <w:r>
        <w:rPr>
          <w:rFonts w:hint="eastAsia" w:ascii="仿宋" w:hAnsi="仿宋" w:eastAsia="仿宋" w:cs="仿宋"/>
          <w:color w:val="auto"/>
          <w:sz w:val="32"/>
          <w:szCs w:val="32"/>
        </w:rPr>
        <w:t>区大面积停电事件应急处理、事故抢险、维护稳定、恢复生产等各项应急工作；</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（2）研究和部署重大应急对策；</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（3）督促制定、修编应急预案；</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（4）宣布进入和解除预警状态；</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（5）宣布进入和解除应急状态；</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（6）宣布实施和终止应急预案；</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（7）</w:t>
      </w:r>
      <w:r>
        <w:rPr>
          <w:rFonts w:hint="eastAsia" w:ascii="仿宋" w:hAnsi="仿宋" w:eastAsia="仿宋" w:cs="仿宋"/>
          <w:color w:val="auto"/>
          <w:sz w:val="32"/>
          <w:szCs w:val="32"/>
          <w:lang w:val="en-US" w:eastAsia="zh-CN"/>
        </w:rPr>
        <w:t>做好</w:t>
      </w:r>
      <w:r>
        <w:rPr>
          <w:rFonts w:hint="eastAsia" w:ascii="仿宋" w:hAnsi="仿宋" w:eastAsia="仿宋" w:cs="仿宋"/>
          <w:color w:val="auto"/>
          <w:sz w:val="32"/>
          <w:szCs w:val="32"/>
        </w:rPr>
        <w:t>乡镇（街道、园区）、各部门之间的</w:t>
      </w:r>
      <w:r>
        <w:rPr>
          <w:rFonts w:hint="eastAsia" w:ascii="仿宋" w:hAnsi="仿宋" w:eastAsia="仿宋" w:cs="仿宋"/>
          <w:color w:val="auto"/>
          <w:sz w:val="32"/>
          <w:szCs w:val="32"/>
          <w:lang w:val="en-US" w:eastAsia="zh-CN"/>
        </w:rPr>
        <w:t>协调工作</w:t>
      </w:r>
      <w:r>
        <w:rPr>
          <w:rFonts w:hint="eastAsia" w:ascii="仿宋" w:hAnsi="仿宋" w:eastAsia="仿宋" w:cs="仿宋"/>
          <w:color w:val="auto"/>
          <w:sz w:val="32"/>
          <w:szCs w:val="32"/>
        </w:rPr>
        <w:t>。</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2.1.3</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应急指挥部办公室</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应急指挥部下设办公室，负责</w:t>
      </w:r>
      <w:r>
        <w:rPr>
          <w:rFonts w:hint="eastAsia" w:ascii="仿宋" w:hAnsi="仿宋" w:eastAsia="仿宋" w:cs="仿宋"/>
          <w:color w:val="auto"/>
          <w:sz w:val="32"/>
          <w:szCs w:val="32"/>
          <w:lang w:val="en-US" w:eastAsia="zh-CN"/>
        </w:rPr>
        <w:t>指挥部</w:t>
      </w:r>
      <w:r>
        <w:rPr>
          <w:rFonts w:hint="eastAsia" w:ascii="仿宋" w:hAnsi="仿宋" w:eastAsia="仿宋" w:cs="仿宋"/>
          <w:color w:val="auto"/>
          <w:sz w:val="32"/>
          <w:szCs w:val="32"/>
        </w:rPr>
        <w:t>日常工作。办公室设赫山供电分公司。</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2.1.4</w:t>
      </w:r>
      <w:r>
        <w:rPr>
          <w:rFonts w:hint="eastAsia" w:ascii="仿宋" w:hAnsi="仿宋" w:eastAsia="仿宋" w:cs="仿宋"/>
          <w:color w:val="auto"/>
          <w:sz w:val="32"/>
          <w:szCs w:val="32"/>
          <w:lang w:val="en-US" w:eastAsia="zh-CN"/>
        </w:rPr>
        <w:t>区应急指挥部</w:t>
      </w:r>
      <w:r>
        <w:rPr>
          <w:rFonts w:hint="eastAsia" w:ascii="仿宋" w:hAnsi="仿宋" w:eastAsia="仿宋" w:cs="仿宋"/>
          <w:color w:val="auto"/>
          <w:sz w:val="32"/>
          <w:szCs w:val="32"/>
        </w:rPr>
        <w:t>办公室主要职责</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（1）根据大面积停电情况，提请区应急指挥部决定进入和解除预警状态或应急状态，实施和终止应急预案；</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（2）落实区应急指挥部下达的应急指令；</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（3）督促应急预案执行；</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（4）掌握应急处理和供电恢复情况，及时协调解决应急过程中的重大问题；</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w:t>
      </w:r>
      <w:r>
        <w:rPr>
          <w:rFonts w:hint="eastAsia" w:ascii="楷体_GB2312" w:hAnsi="楷体_GB2312" w:eastAsia="楷体_GB2312" w:cs="楷体_GB2312"/>
          <w:color w:val="auto"/>
          <w:sz w:val="32"/>
          <w:szCs w:val="32"/>
          <w:lang w:val="en-US" w:eastAsia="zh-CN"/>
        </w:rPr>
        <w:t xml:space="preserve">2 </w:t>
      </w:r>
      <w:r>
        <w:rPr>
          <w:rFonts w:hint="eastAsia" w:ascii="楷体_GB2312" w:hAnsi="楷体_GB2312" w:eastAsia="楷体_GB2312" w:cs="楷体_GB2312"/>
          <w:color w:val="auto"/>
          <w:sz w:val="32"/>
          <w:szCs w:val="32"/>
        </w:rPr>
        <w:t>应急指挥部成员单位职责</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区委宣传部（区新闻信息中心）</w:t>
      </w:r>
      <w:r>
        <w:rPr>
          <w:rFonts w:hint="eastAsia" w:ascii="仿宋" w:hAnsi="仿宋" w:eastAsia="仿宋" w:cs="仿宋"/>
          <w:color w:val="auto"/>
          <w:sz w:val="32"/>
          <w:szCs w:val="32"/>
        </w:rPr>
        <w:t>：负责第一时间的信息发布、事故抢险救灾的宣传报道和有关安全事项的告知工作，引导各新闻媒体准确、正面、积极报导</w:t>
      </w:r>
      <w:r>
        <w:rPr>
          <w:rFonts w:hint="eastAsia" w:ascii="仿宋" w:hAnsi="仿宋" w:eastAsia="仿宋" w:cs="仿宋"/>
          <w:color w:val="auto"/>
          <w:sz w:val="32"/>
          <w:szCs w:val="32"/>
          <w:lang w:val="en-US" w:eastAsia="zh-CN"/>
        </w:rPr>
        <w:t>相关信息</w:t>
      </w:r>
      <w:r>
        <w:rPr>
          <w:rFonts w:hint="eastAsia" w:ascii="仿宋" w:hAnsi="仿宋" w:eastAsia="仿宋" w:cs="仿宋"/>
          <w:color w:val="auto"/>
          <w:sz w:val="32"/>
          <w:szCs w:val="32"/>
        </w:rPr>
        <w:t>。</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赫山公安分局：在停电期间，加强对</w:t>
      </w:r>
      <w:r>
        <w:rPr>
          <w:rFonts w:hint="eastAsia" w:ascii="仿宋" w:hAnsi="仿宋" w:eastAsia="仿宋" w:cs="仿宋"/>
          <w:color w:val="auto"/>
          <w:sz w:val="32"/>
          <w:szCs w:val="32"/>
          <w:lang w:val="en-US" w:eastAsia="zh-CN"/>
        </w:rPr>
        <w:t>政府</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医院、银行等</w:t>
      </w:r>
      <w:r>
        <w:rPr>
          <w:rFonts w:hint="eastAsia" w:ascii="仿宋" w:hAnsi="仿宋" w:eastAsia="仿宋" w:cs="仿宋"/>
          <w:color w:val="auto"/>
          <w:sz w:val="32"/>
          <w:szCs w:val="32"/>
        </w:rPr>
        <w:t>单位的安全保卫工作，加强社会巡逻防范工作，严密防范和严厉打击违法犯罪活动，维护社会稳定。</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区发改局：加强大面积停电期间市场价格监测和监督检查，会同工商、质监等部门共同维护正常的市场秩序，防止市场产生大的波动。</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区工信局：负责协调电信、移动、联通等通信企业做好通信保障工作。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区民政局：负责救援物资储备，确保大面积停电期间救灾物资的供应。</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区财政局：保障大面积停电事件防范和应急处置各项费用</w:t>
      </w:r>
      <w:r>
        <w:rPr>
          <w:rFonts w:hint="eastAsia" w:ascii="仿宋" w:hAnsi="仿宋" w:eastAsia="仿宋" w:cs="仿宋"/>
          <w:color w:val="auto"/>
          <w:sz w:val="32"/>
          <w:szCs w:val="32"/>
          <w:lang w:val="en-US" w:eastAsia="zh-CN"/>
        </w:rPr>
        <w:t>并</w:t>
      </w:r>
      <w:r>
        <w:rPr>
          <w:rFonts w:hint="eastAsia" w:ascii="仿宋" w:hAnsi="仿宋" w:eastAsia="仿宋" w:cs="仿宋"/>
          <w:color w:val="auto"/>
          <w:sz w:val="32"/>
          <w:szCs w:val="32"/>
        </w:rPr>
        <w:t>及时拨付。</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区住建局：保障停电期间群众日常生活的供水、供热、供气。</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区交通局：保障大面积停电事件应急物资的运输工作，组织运输车辆参与电力抢修，确保电力设施及时运送到位。</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区水务局：及时为电力抢险提供必要的水文情况。</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区商务局：保障居民在停电期间的基本生活品供应工作。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区卫计局：根据应急需要，快速组织医疗应急救援队伍进入救灾现场，组织实施医疗救治工作和各项预防控制措施。</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区安监局：加强停电期间安全生产检查，积极参与因停电而发生安全生产事故的应急处置工作。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赫山</w:t>
      </w:r>
      <w:r>
        <w:rPr>
          <w:rFonts w:hint="eastAsia" w:ascii="仿宋" w:hAnsi="仿宋" w:eastAsia="仿宋" w:cs="仿宋"/>
          <w:color w:val="auto"/>
          <w:sz w:val="32"/>
          <w:szCs w:val="32"/>
        </w:rPr>
        <w:t>交警大队：加强停电地区道路交通指挥和疏导，缓解交通堵塞，避免出现交通混乱，保障</w:t>
      </w:r>
      <w:r>
        <w:rPr>
          <w:rFonts w:hint="eastAsia" w:ascii="仿宋" w:hAnsi="仿宋" w:eastAsia="仿宋" w:cs="仿宋"/>
          <w:color w:val="auto"/>
          <w:sz w:val="32"/>
          <w:szCs w:val="32"/>
          <w:lang w:val="en-US" w:eastAsia="zh-CN"/>
        </w:rPr>
        <w:t>应急救援车辆正常通行</w:t>
      </w:r>
      <w:r>
        <w:rPr>
          <w:rFonts w:hint="eastAsia" w:ascii="仿宋" w:hAnsi="仿宋" w:eastAsia="仿宋" w:cs="仿宋"/>
          <w:color w:val="auto"/>
          <w:sz w:val="32"/>
          <w:szCs w:val="32"/>
        </w:rPr>
        <w:t>。</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赫山消防大队：做好各项灭火救援应急准备工作，及时扑灭大面积停电期间发生的各类火灾。</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赫山国土分局：及时为电力抢险提供必要的地质信息。</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区气象局：负责应急处置期间的天气情况监控，及时通报情况。</w:t>
      </w:r>
    </w:p>
    <w:p>
      <w:pPr>
        <w:pStyle w:val="4"/>
        <w:widowControl w:val="0"/>
        <w:shd w:val="clear" w:color="auto" w:fill="FFFFFF"/>
        <w:wordWrap/>
        <w:spacing w:before="0" w:beforeAutospacing="0" w:after="0" w:afterAutospacing="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赫山供电分公司：成立电网大面积停电应急指挥机构</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组建</w:t>
      </w:r>
      <w:r>
        <w:rPr>
          <w:rFonts w:hint="eastAsia" w:ascii="仿宋" w:hAnsi="仿宋" w:eastAsia="仿宋" w:cs="仿宋"/>
          <w:color w:val="auto"/>
          <w:sz w:val="32"/>
          <w:szCs w:val="32"/>
        </w:rPr>
        <w:t>电力抢险队伍，制定电网事故应急预案，建立完备的事故监测、预警、报告和应急处置工作制度，迅速组织力量开展事故抢险救灾，修复被损电力设施，恢复灾区电力供应工作。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必要条件下，其他部门全力配合参与大面积停电事件的应急处置工作。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w:t>
      </w:r>
      <w:r>
        <w:rPr>
          <w:rFonts w:hint="eastAsia" w:ascii="楷体_GB2312" w:hAnsi="楷体_GB2312" w:eastAsia="楷体_GB2312" w:cs="楷体_GB2312"/>
          <w:color w:val="auto"/>
          <w:sz w:val="32"/>
          <w:szCs w:val="32"/>
          <w:lang w:val="en-US" w:eastAsia="zh-CN"/>
        </w:rPr>
        <w:t xml:space="preserve">3 </w:t>
      </w:r>
      <w:r>
        <w:rPr>
          <w:rFonts w:hint="eastAsia" w:ascii="楷体_GB2312" w:hAnsi="楷体_GB2312" w:eastAsia="楷体_GB2312" w:cs="楷体_GB2312"/>
          <w:color w:val="auto"/>
          <w:sz w:val="32"/>
          <w:szCs w:val="32"/>
        </w:rPr>
        <w:t>地方应急指挥机构</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各乡镇（街道、园区）比照国家处置电网大面积停电事件应急预案，结合本地实际制定预案并成立相应的应急指挥机构，建立和完善相应的应急救援与处置体系。</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3</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事件分级</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按照电网停电范围和事故严重程度，大面积停电事件分为特别重大、重大、较大和一般四级。　</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3.1 特别重大大面积停电事件</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3.1.</w:t>
      </w:r>
      <w:r>
        <w:rPr>
          <w:rFonts w:hint="eastAsia" w:ascii="仿宋" w:hAnsi="仿宋" w:eastAsia="仿宋" w:cs="仿宋"/>
          <w:color w:val="auto"/>
          <w:sz w:val="32"/>
          <w:szCs w:val="32"/>
        </w:rPr>
        <w:t>1区域性电网：减供负荷30%以上。</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3.1.</w:t>
      </w:r>
      <w:r>
        <w:rPr>
          <w:rFonts w:hint="eastAsia" w:ascii="仿宋" w:hAnsi="仿宋" w:eastAsia="仿宋" w:cs="仿宋"/>
          <w:color w:val="auto"/>
          <w:sz w:val="32"/>
          <w:szCs w:val="32"/>
        </w:rPr>
        <w:t>2省、自治区电网：负荷20000兆瓦以上的减供负荷30%以上，负荷5000兆瓦以上20000兆瓦以下的减供负荷40%以上。</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3.2 重大大面积停电事件</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3.2.</w:t>
      </w:r>
      <w:r>
        <w:rPr>
          <w:rFonts w:hint="eastAsia" w:ascii="仿宋" w:hAnsi="仿宋" w:eastAsia="仿宋" w:cs="仿宋"/>
          <w:color w:val="auto"/>
          <w:sz w:val="32"/>
          <w:szCs w:val="32"/>
        </w:rPr>
        <w:t>1区域性电网：减供负荷10%以上30%以下。</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3.2.</w:t>
      </w:r>
      <w:r>
        <w:rPr>
          <w:rFonts w:hint="eastAsia" w:ascii="仿宋" w:hAnsi="仿宋" w:eastAsia="仿宋" w:cs="仿宋"/>
          <w:color w:val="auto"/>
          <w:sz w:val="32"/>
          <w:szCs w:val="32"/>
        </w:rPr>
        <w:t>2省、自治区电网：负荷20000兆瓦以上的减供负荷13%以上30%以下，负荷5000兆瓦以上20000兆瓦以下的减供负荷16%以上40%以下，负荷1000兆瓦以上5000兆瓦以下的减供负荷50%以上。</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3.2.3</w:t>
      </w:r>
      <w:r>
        <w:rPr>
          <w:rFonts w:hint="eastAsia" w:ascii="仿宋" w:hAnsi="仿宋" w:eastAsia="仿宋" w:cs="仿宋"/>
          <w:color w:val="auto"/>
          <w:sz w:val="32"/>
          <w:szCs w:val="32"/>
        </w:rPr>
        <w:t>市电网：负荷600兆瓦以上的减供负荷60%以上，或70%以上供电用户停电。</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3.3 较大大面积停电事件</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3.3.</w:t>
      </w:r>
      <w:r>
        <w:rPr>
          <w:rFonts w:hint="eastAsia" w:ascii="仿宋" w:hAnsi="仿宋" w:eastAsia="仿宋" w:cs="仿宋"/>
          <w:color w:val="auto"/>
          <w:sz w:val="32"/>
          <w:szCs w:val="32"/>
        </w:rPr>
        <w:t>1区域性电网：减供负荷7%以上10%以下。</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3.3.</w:t>
      </w:r>
      <w:r>
        <w:rPr>
          <w:rFonts w:hint="eastAsia" w:ascii="仿宋" w:hAnsi="仿宋" w:eastAsia="仿宋" w:cs="仿宋"/>
          <w:color w:val="auto"/>
          <w:sz w:val="32"/>
          <w:szCs w:val="32"/>
        </w:rPr>
        <w:t>2省、自治区电网：负荷20000兆瓦以上的减供负荷10%以上13%以下，负荷5000兆瓦以上20000兆瓦以下的减供负荷12%以上16%以下，负荷1000兆瓦以上5000兆瓦以下的减供负荷20%以上50%以下，负荷1000兆瓦以下的减供负荷40%以上。</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3.3.3</w:t>
      </w:r>
      <w:r>
        <w:rPr>
          <w:rFonts w:hint="eastAsia" w:ascii="仿宋" w:hAnsi="仿宋" w:eastAsia="仿宋" w:cs="仿宋"/>
          <w:color w:val="auto"/>
          <w:sz w:val="32"/>
          <w:szCs w:val="32"/>
        </w:rPr>
        <w:t>市电网：负荷600兆瓦以上的减供负荷40%以上60%以下，或50%以上70%以下供电用户停电；负荷600兆瓦以下的减供负荷40%以上，或50%以上供电用户停电。</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3.3.4</w:t>
      </w:r>
      <w:r>
        <w:rPr>
          <w:rFonts w:hint="eastAsia" w:ascii="仿宋" w:hAnsi="仿宋" w:eastAsia="仿宋" w:cs="仿宋"/>
          <w:color w:val="auto"/>
          <w:sz w:val="32"/>
          <w:szCs w:val="32"/>
        </w:rPr>
        <w:t>区电网：负荷150兆瓦以上的减供负荷60%以上，或70%以上供电用户停电。</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3.4 一般大面积停电事件</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3.4.1</w:t>
      </w:r>
      <w:r>
        <w:rPr>
          <w:rFonts w:hint="eastAsia" w:ascii="仿宋" w:hAnsi="仿宋" w:eastAsia="仿宋" w:cs="仿宋"/>
          <w:color w:val="auto"/>
          <w:sz w:val="32"/>
          <w:szCs w:val="32"/>
        </w:rPr>
        <w:t>区域性电网：减供负荷4%以上7%以下。</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3.4.</w:t>
      </w:r>
      <w:r>
        <w:rPr>
          <w:rFonts w:hint="eastAsia" w:ascii="仿宋" w:hAnsi="仿宋" w:eastAsia="仿宋" w:cs="仿宋"/>
          <w:color w:val="auto"/>
          <w:sz w:val="32"/>
          <w:szCs w:val="32"/>
        </w:rPr>
        <w:t>2省、自治区电网：负荷20000兆瓦以上的减供负荷5%以上10%以下，负荷5000兆瓦以上20000兆瓦以下的减供负荷6%以上12%以下，负荷1000兆瓦以上5000兆瓦以下的减供负荷10%以上20%以下，负荷1000兆瓦以下的减供负荷25%以上40%以下。</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3.4.3</w:t>
      </w:r>
      <w:r>
        <w:rPr>
          <w:rFonts w:hint="eastAsia" w:ascii="仿宋" w:hAnsi="仿宋" w:eastAsia="仿宋" w:cs="仿宋"/>
          <w:color w:val="auto"/>
          <w:sz w:val="32"/>
          <w:szCs w:val="32"/>
        </w:rPr>
        <w:t>市电网：减供负荷20%以上40%以下，或30%以上50%以下供电用户停电。</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3.4.4</w:t>
      </w:r>
      <w:r>
        <w:rPr>
          <w:rFonts w:hint="eastAsia" w:ascii="仿宋" w:hAnsi="仿宋" w:eastAsia="仿宋" w:cs="仿宋"/>
          <w:color w:val="auto"/>
          <w:sz w:val="32"/>
          <w:szCs w:val="32"/>
        </w:rPr>
        <w:t>区级电网：负荷150兆瓦以上的减供负荷40%以上60%以下，或50%以上70%以下供电用户停电；负荷150兆瓦以下的减供负荷40%以上，或50%以上供电用户停电。</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上述分级标准有关数量的表述中，“以上”含本数，“以下”不含本数。</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4</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应急响应</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响应分级</w:t>
      </w:r>
    </w:p>
    <w:p>
      <w:pPr>
        <w:widowControl w:val="0"/>
        <w:wordWrap/>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根据大面积停电事件的严重程度和发展态势，将应急响应设定为Ⅰ级、Ⅱ级、Ⅲ级和Ⅳ级四个等级。较大以上大面积停电事件，在中央、省、市应急指挥机构的指导下开展应急处置工作。初判发生一般大面积停电事件，由区应急指挥部组织</w:t>
      </w:r>
      <w:r>
        <w:rPr>
          <w:rFonts w:hint="eastAsia" w:ascii="仿宋" w:hAnsi="仿宋" w:eastAsia="仿宋" w:cs="仿宋"/>
          <w:color w:val="auto"/>
          <w:sz w:val="32"/>
          <w:szCs w:val="32"/>
          <w:lang w:val="en-US" w:eastAsia="zh-CN"/>
        </w:rPr>
        <w:t>有</w:t>
      </w:r>
      <w:r>
        <w:rPr>
          <w:rFonts w:hint="eastAsia" w:ascii="仿宋" w:hAnsi="仿宋" w:eastAsia="仿宋" w:cs="仿宋"/>
          <w:color w:val="auto"/>
          <w:sz w:val="32"/>
          <w:szCs w:val="32"/>
        </w:rPr>
        <w:t>关部门开展应急处置工作。对于尚未达到一般大面积停电事件标准，但对社会产生较大影响的其他停电事件，</w:t>
      </w:r>
      <w:r>
        <w:rPr>
          <w:rFonts w:hint="eastAsia" w:ascii="仿宋" w:hAnsi="仿宋" w:eastAsia="仿宋" w:cs="仿宋"/>
          <w:color w:val="auto"/>
          <w:sz w:val="32"/>
          <w:szCs w:val="32"/>
          <w:lang w:val="en-US" w:eastAsia="zh-CN"/>
        </w:rPr>
        <w:t>由区应急指挥部</w:t>
      </w:r>
      <w:r>
        <w:rPr>
          <w:rFonts w:hint="eastAsia" w:ascii="仿宋" w:hAnsi="仿宋" w:eastAsia="仿宋" w:cs="仿宋"/>
          <w:color w:val="auto"/>
          <w:sz w:val="32"/>
          <w:szCs w:val="32"/>
        </w:rPr>
        <w:t>结合实际情况启动应急响应。应急响应启动后，可视事件造成损失情况及其发展趋势调整响应级别，避免响应不足或响应过度。</w:t>
      </w:r>
    </w:p>
    <w:p>
      <w:pPr>
        <w:widowControl w:val="0"/>
        <w:wordWrap/>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响应措施</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大面积停电事件发生后，供电公司和重要电力用户要立即实施先期处置，全力控制事件发展态势，减少损失。事发地乡镇（街道、园区）、区直</w:t>
      </w:r>
      <w:r>
        <w:rPr>
          <w:rFonts w:hint="eastAsia" w:ascii="仿宋" w:hAnsi="仿宋" w:eastAsia="仿宋" w:cs="仿宋"/>
          <w:color w:val="auto"/>
          <w:sz w:val="32"/>
          <w:szCs w:val="32"/>
          <w:lang w:val="en-US" w:eastAsia="zh-CN"/>
        </w:rPr>
        <w:t>及驻区</w:t>
      </w:r>
      <w:r>
        <w:rPr>
          <w:rFonts w:hint="eastAsia" w:ascii="仿宋" w:hAnsi="仿宋" w:eastAsia="仿宋" w:cs="仿宋"/>
          <w:color w:val="auto"/>
          <w:sz w:val="32"/>
          <w:szCs w:val="32"/>
        </w:rPr>
        <w:t>有关单位要根据工作需要，组织采取措施。</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4.2.1抢修电网并恢复运行</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供电公司要合理安排运行方式，控制停电范围；迅速组织力量抢修受损电网设备设施，恢复重要输变电设备、电力主干网架运行；在条件具备时，优先恢复重要电力用户、重点项目和重点地区的电力供应。</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发电企业保证设备安全，抢修受损设备，做好发电机组并网运行准备，按照电力调度指令恢复运行。</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4.2.2防范次生衍生事故</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重要电力用户按照有关技术要求迅速启动自备应急电源，加强重大危险源、重要目标、重大关键基础设施隐患排查与监测预警，及时采取防范措施，防止发生次生衍生事故。</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4.2.3保障居民基本生活</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住建部门要采取多方措施保障群众日常生活的供水、供热、供气；商务部门要积极组织生活必需品的应急生产、调配和运输，保障停电期间居民基本生活。</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4.2.4维护社会稳定</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公安部门要加强重点单位的安全保卫工作，严密防范和严厉打击违法犯罪活动。加强对停电区域内繁华街区、大型居民区、大型商场、学校、医院、金融机构、城市</w:t>
      </w:r>
      <w:r>
        <w:rPr>
          <w:rFonts w:hint="eastAsia" w:ascii="仿宋" w:hAnsi="仿宋" w:eastAsia="仿宋" w:cs="仿宋"/>
          <w:color w:val="auto"/>
          <w:sz w:val="32"/>
          <w:szCs w:val="32"/>
          <w:lang w:val="en-US" w:eastAsia="zh-CN"/>
        </w:rPr>
        <w:t>重要</w:t>
      </w:r>
      <w:r>
        <w:rPr>
          <w:rFonts w:hint="eastAsia" w:ascii="仿宋" w:hAnsi="仿宋" w:eastAsia="仿宋" w:cs="仿宋"/>
          <w:color w:val="auto"/>
          <w:sz w:val="32"/>
          <w:szCs w:val="32"/>
        </w:rPr>
        <w:t>交通设施、码头及其他重要生产经营场所等重点地区、重点部位、人员密集场所的治安巡逻，及时疏散人员，解救被困人员，防范治安事件。交警部门要加强交通疏导，维护道路交通秩序。发改、工商部门</w:t>
      </w:r>
      <w:r>
        <w:rPr>
          <w:rFonts w:hint="eastAsia" w:ascii="仿宋" w:hAnsi="仿宋" w:eastAsia="仿宋" w:cs="仿宋"/>
          <w:color w:val="auto"/>
          <w:sz w:val="32"/>
          <w:szCs w:val="32"/>
          <w:lang w:val="en-US" w:eastAsia="zh-CN"/>
        </w:rPr>
        <w:t>督促企业</w:t>
      </w:r>
      <w:r>
        <w:rPr>
          <w:rFonts w:hint="eastAsia" w:ascii="仿宋" w:hAnsi="仿宋" w:eastAsia="仿宋" w:cs="仿宋"/>
          <w:color w:val="auto"/>
          <w:sz w:val="32"/>
          <w:szCs w:val="32"/>
        </w:rPr>
        <w:t>尽快恢复生产经营活动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严厉打击造谣惑众、囤积居奇、哄抬物价等各种违法行为。</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4.2.5加强信息发布</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宣传部门</w:t>
      </w:r>
      <w:r>
        <w:rPr>
          <w:rFonts w:hint="eastAsia" w:ascii="仿宋" w:hAnsi="仿宋" w:eastAsia="仿宋" w:cs="仿宋"/>
          <w:color w:val="auto"/>
          <w:sz w:val="32"/>
          <w:szCs w:val="32"/>
        </w:rPr>
        <w:t>要加强信息发布和舆论引导，主动向社会发布停电相关信息和应对工作情况，提示相关注意事项和安保措施。加强舆情收集分析，及时回应社会关切，澄清不实信息，正确引导社会舆论，稳定公众情绪。</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4.2.6组织事态评估</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供电公司要及时组织对大面积停电事件影响范围、影响程度、发展趋势及恢复进度进行评估，为进一步做好应对工作提供依据。</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4.3 应急结束</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同时满足以下条件时，由</w:t>
      </w:r>
      <w:r>
        <w:rPr>
          <w:rFonts w:hint="eastAsia" w:ascii="仿宋" w:hAnsi="仿宋" w:eastAsia="仿宋" w:cs="仿宋"/>
          <w:color w:val="auto"/>
          <w:sz w:val="32"/>
          <w:szCs w:val="32"/>
          <w:lang w:val="en-US" w:eastAsia="zh-CN"/>
        </w:rPr>
        <w:t>区应急指挥部</w:t>
      </w:r>
      <w:r>
        <w:rPr>
          <w:rFonts w:hint="eastAsia" w:ascii="仿宋" w:hAnsi="仿宋" w:eastAsia="仿宋" w:cs="仿宋"/>
          <w:color w:val="auto"/>
          <w:sz w:val="32"/>
          <w:szCs w:val="32"/>
        </w:rPr>
        <w:t>终止应急响应：</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4.3.</w:t>
      </w:r>
      <w:r>
        <w:rPr>
          <w:rFonts w:hint="eastAsia" w:ascii="仿宋" w:hAnsi="仿宋" w:eastAsia="仿宋" w:cs="仿宋"/>
          <w:color w:val="auto"/>
          <w:sz w:val="32"/>
          <w:szCs w:val="32"/>
        </w:rPr>
        <w:t>1电网主干网架基本恢复正常，电网运行参数保持在稳定限额之内，主要发电厂机组运行稳定；</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4.3.</w:t>
      </w:r>
      <w:r>
        <w:rPr>
          <w:rFonts w:hint="eastAsia" w:ascii="仿宋" w:hAnsi="仿宋" w:eastAsia="仿宋" w:cs="仿宋"/>
          <w:color w:val="auto"/>
          <w:sz w:val="32"/>
          <w:szCs w:val="32"/>
        </w:rPr>
        <w:t>2减供负荷恢复80%以上，受停电影响的重点地区负荷恢复90%以上；</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4.3.</w:t>
      </w:r>
      <w:r>
        <w:rPr>
          <w:rFonts w:hint="eastAsia" w:ascii="仿宋" w:hAnsi="仿宋" w:eastAsia="仿宋" w:cs="仿宋"/>
          <w:color w:val="auto"/>
          <w:sz w:val="32"/>
          <w:szCs w:val="32"/>
        </w:rPr>
        <w:t>3造成大面积停电事件的隐患基本消除；</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4.3.4</w:t>
      </w:r>
      <w:r>
        <w:rPr>
          <w:rFonts w:hint="eastAsia" w:ascii="仿宋" w:hAnsi="仿宋" w:eastAsia="仿宋" w:cs="仿宋"/>
          <w:color w:val="auto"/>
          <w:sz w:val="32"/>
          <w:szCs w:val="32"/>
        </w:rPr>
        <w:t>大面积停电事件造成的次生衍生事故基本处置完成。</w:t>
      </w:r>
    </w:p>
    <w:p>
      <w:pPr>
        <w:widowControl w:val="0"/>
        <w:wordWrap/>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shd w:val="clear" w:color="auto" w:fill="FFFFFF"/>
        </w:rPr>
        <w:t>5</w:t>
      </w:r>
      <w:r>
        <w:rPr>
          <w:rFonts w:hint="eastAsia" w:ascii="黑体" w:hAnsi="黑体" w:eastAsia="黑体" w:cs="黑体"/>
          <w:color w:val="auto"/>
          <w:sz w:val="32"/>
          <w:szCs w:val="32"/>
          <w:shd w:val="clear" w:color="auto" w:fill="FFFFFF"/>
          <w:lang w:val="en-US" w:eastAsia="zh-CN"/>
        </w:rPr>
        <w:t>.</w:t>
      </w:r>
      <w:r>
        <w:rPr>
          <w:rFonts w:hint="eastAsia" w:ascii="黑体" w:hAnsi="黑体" w:eastAsia="黑体" w:cs="黑体"/>
          <w:color w:val="auto"/>
          <w:sz w:val="32"/>
          <w:szCs w:val="32"/>
          <w:shd w:val="clear" w:color="auto" w:fill="FFFFFF"/>
        </w:rPr>
        <w:t>后期处置</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处置评估</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大面积停电事件应急响应终止后，供电公司要及时组织对事件处置工作进行评估，总结经验教训，分析查找问题，提出改进措施，形成处置评估报告，报区人民政府。</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事件调查</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大面积停电事件发生后，区</w:t>
      </w:r>
      <w:r>
        <w:rPr>
          <w:rFonts w:hint="eastAsia" w:ascii="仿宋" w:hAnsi="仿宋" w:eastAsia="仿宋" w:cs="仿宋"/>
          <w:color w:val="auto"/>
          <w:sz w:val="32"/>
          <w:szCs w:val="32"/>
          <w:lang w:val="en-US" w:eastAsia="zh-CN"/>
        </w:rPr>
        <w:t>应急指挥部</w:t>
      </w:r>
      <w:r>
        <w:rPr>
          <w:rFonts w:hint="eastAsia" w:ascii="仿宋" w:hAnsi="仿宋" w:eastAsia="仿宋" w:cs="仿宋"/>
          <w:color w:val="auto"/>
          <w:sz w:val="32"/>
          <w:szCs w:val="32"/>
        </w:rPr>
        <w:t>根据有关规定成立调查组，查明事件原因、性质、影响范围、经济损失等情况，提出防范、整改措施和处理处置建议。</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5.3</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善后处置</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事发地</w:t>
      </w:r>
      <w:r>
        <w:rPr>
          <w:rFonts w:hint="eastAsia" w:ascii="仿宋" w:hAnsi="仿宋" w:eastAsia="仿宋" w:cs="仿宋"/>
          <w:color w:val="auto"/>
          <w:sz w:val="32"/>
          <w:szCs w:val="32"/>
          <w:lang w:val="en-US" w:eastAsia="zh-CN"/>
        </w:rPr>
        <w:t>乡镇（街道、园区）</w:t>
      </w:r>
      <w:r>
        <w:rPr>
          <w:rFonts w:hint="eastAsia" w:ascii="仿宋" w:hAnsi="仿宋" w:eastAsia="仿宋" w:cs="仿宋"/>
          <w:color w:val="auto"/>
          <w:sz w:val="32"/>
          <w:szCs w:val="32"/>
        </w:rPr>
        <w:t>要及时组织制订善后工作方案并组织实施。</w:t>
      </w:r>
      <w:r>
        <w:rPr>
          <w:rFonts w:hint="eastAsia" w:ascii="仿宋" w:hAnsi="仿宋" w:eastAsia="仿宋" w:cs="仿宋"/>
          <w:color w:val="auto"/>
          <w:sz w:val="32"/>
          <w:szCs w:val="32"/>
          <w:lang w:val="en-US" w:eastAsia="zh-CN"/>
        </w:rPr>
        <w:t>区金融办要迅速协调</w:t>
      </w:r>
      <w:r>
        <w:rPr>
          <w:rFonts w:hint="eastAsia" w:ascii="仿宋" w:hAnsi="仿宋" w:eastAsia="仿宋" w:cs="仿宋"/>
          <w:color w:val="auto"/>
          <w:sz w:val="32"/>
          <w:szCs w:val="32"/>
        </w:rPr>
        <w:t>保险机构开展相关理赔工作，尽快消除大面积停电事件的影响。</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5.4</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恢复重建</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大面积停电事件应急响应终止后，需对电网网架结构和设备设施进行修复或重建的，由区人民政府上报</w:t>
      </w:r>
      <w:r>
        <w:rPr>
          <w:rFonts w:hint="eastAsia" w:ascii="仿宋" w:hAnsi="仿宋" w:eastAsia="仿宋" w:cs="仿宋"/>
          <w:color w:val="auto"/>
          <w:sz w:val="32"/>
          <w:szCs w:val="32"/>
          <w:lang w:val="en-US" w:eastAsia="zh-CN"/>
        </w:rPr>
        <w:t>省、市</w:t>
      </w:r>
      <w:r>
        <w:rPr>
          <w:rFonts w:hint="eastAsia" w:ascii="仿宋" w:hAnsi="仿宋" w:eastAsia="仿宋" w:cs="仿宋"/>
          <w:color w:val="auto"/>
          <w:sz w:val="32"/>
          <w:szCs w:val="32"/>
        </w:rPr>
        <w:t>人民政府，在省、市人民政府的指导下开展电力设施恢复重建工作。</w:t>
      </w:r>
    </w:p>
    <w:p>
      <w:pPr>
        <w:widowControl w:val="0"/>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6</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保障措施</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队伍保障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供电公司应建立健全电力抢修应急专业队伍，加强设备维护和应急抢修技能方面的人员培训，定期开展应急演练，提高应急救援能力。各乡镇（街道、园区）可根据需要组织动员其他专业应急队伍和志愿者等参与大面积停电事件及其次生衍生灾害处置工作。公安、消防、武警等</w:t>
      </w:r>
      <w:r>
        <w:rPr>
          <w:rFonts w:hint="eastAsia" w:ascii="仿宋" w:hAnsi="仿宋" w:eastAsia="仿宋" w:cs="仿宋"/>
          <w:color w:val="auto"/>
          <w:sz w:val="32"/>
          <w:szCs w:val="32"/>
          <w:lang w:val="en-US" w:eastAsia="zh-CN"/>
        </w:rPr>
        <w:t>部门</w:t>
      </w:r>
      <w:r>
        <w:rPr>
          <w:rFonts w:hint="eastAsia" w:ascii="仿宋" w:hAnsi="仿宋" w:eastAsia="仿宋" w:cs="仿宋"/>
          <w:color w:val="auto"/>
          <w:sz w:val="32"/>
          <w:szCs w:val="32"/>
        </w:rPr>
        <w:t>要做好应急力量支援保障。</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装备物资保障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供电公司应储备必要的专业应急装备及物资，建立和完善相应保障体系。区、</w:t>
      </w:r>
      <w:r>
        <w:rPr>
          <w:rFonts w:hint="eastAsia" w:ascii="仿宋" w:hAnsi="仿宋" w:eastAsia="仿宋" w:cs="仿宋"/>
          <w:color w:val="auto"/>
          <w:sz w:val="32"/>
          <w:szCs w:val="32"/>
          <w:lang w:val="en-US" w:eastAsia="zh-CN"/>
        </w:rPr>
        <w:t>乡</w:t>
      </w:r>
      <w:r>
        <w:rPr>
          <w:rFonts w:hint="eastAsia" w:ascii="仿宋" w:hAnsi="仿宋" w:eastAsia="仿宋" w:cs="仿宋"/>
          <w:color w:val="auto"/>
          <w:sz w:val="32"/>
          <w:szCs w:val="32"/>
        </w:rPr>
        <w:t>镇两级要加强应急救援装备物资及生产生活物资的紧急生产、储备调拨和紧急配送工作，保障支援大面积停电事件应对工作需要。鼓励支持社会化储备。</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6.3</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通信、交通与运输保障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工信部门要建立健全大面积停电事件应急通信保障体系，形成可靠的通信保障能力，确保应急期间通信联络和信息传递需要。交通运输部门要健全紧急运输保障体系，保障应急响应所需人员、物资、装备、器材等的运输；交警部门要加强交通应急管理，保障应急救援车辆优先通行。</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6.4</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技术保障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供电公司要加强大面积停电事件应对和监测先进技术、装备的研发，制定电力应急技术标准，加强电网、电厂安全应急信息化平台建设。</w:t>
      </w:r>
      <w:r>
        <w:rPr>
          <w:rFonts w:hint="eastAsia" w:ascii="仿宋" w:hAnsi="仿宋" w:eastAsia="仿宋" w:cs="仿宋"/>
          <w:color w:val="auto"/>
          <w:sz w:val="32"/>
          <w:szCs w:val="32"/>
          <w:lang w:val="en-US" w:eastAsia="zh-CN"/>
        </w:rPr>
        <w:t>气象、国土、水务部门</w:t>
      </w:r>
      <w:r>
        <w:rPr>
          <w:rFonts w:hint="eastAsia" w:ascii="仿宋" w:hAnsi="仿宋" w:eastAsia="仿宋" w:cs="仿宋"/>
          <w:color w:val="auto"/>
          <w:sz w:val="32"/>
          <w:szCs w:val="32"/>
        </w:rPr>
        <w:t>要为电力日常监测预警及电力应急抢险提供必要的气象、地质、水文等服务。</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6.5</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应急电源保障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提高电力系统快速恢复能力，加强电网“黑启动”能力建设。供电公司应充分考虑电源规划布局，保障各地区“黑启动”电源。应配备适量的应急发电装备，必要时提供应急电源支援。重要电力用户应按照国家有关技术要求配置应急电源，并加强维护和管理，确保应急状态下能够投入运行。</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6.6</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资金保障</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财政部门及电力部门应按照有关规定，对大面积停电事件处置工作提供必要的资金保障。　</w:t>
      </w:r>
    </w:p>
    <w:p>
      <w:pPr>
        <w:widowControl w:val="0"/>
        <w:wordWrap/>
        <w:adjustRightInd/>
        <w:snapToGrid/>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7</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宣传、培训和演习</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宣传</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电力企业和重要电力用户应对全体员工加强防范事故的安全生产教育和应急救援教育，并通过各种新闻媒体向全社会宣传出现大面积停电的紧急情况下如何采取正确措施处置，增强公众的自我保护意识。</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培训</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电力企业和重要电力用户应认真组织员工对应急预案的学习和演练，并通过专业人员的技术交流和研讨，提高应急救援的业务知识水平。</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7.3</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演习</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应急指挥部办公室至少每年协调组织一次应急联合演</w:t>
      </w:r>
      <w:r>
        <w:rPr>
          <w:rFonts w:hint="eastAsia" w:ascii="仿宋" w:hAnsi="仿宋" w:eastAsia="仿宋" w:cs="仿宋"/>
          <w:color w:val="auto"/>
          <w:sz w:val="32"/>
          <w:szCs w:val="32"/>
          <w:lang w:val="en-US" w:eastAsia="zh-CN"/>
        </w:rPr>
        <w:t>练</w:t>
      </w:r>
      <w:r>
        <w:rPr>
          <w:rFonts w:hint="eastAsia" w:ascii="仿宋" w:hAnsi="仿宋" w:eastAsia="仿宋" w:cs="仿宋"/>
          <w:color w:val="auto"/>
          <w:sz w:val="32"/>
          <w:szCs w:val="32"/>
        </w:rPr>
        <w:t>，加强和完善各部门协调配合工作。电力企业应根据自身特点，定期组织本企业的应急救援演</w:t>
      </w:r>
      <w:r>
        <w:rPr>
          <w:rFonts w:hint="eastAsia" w:ascii="仿宋" w:hAnsi="仿宋" w:eastAsia="仿宋" w:cs="仿宋"/>
          <w:color w:val="auto"/>
          <w:sz w:val="32"/>
          <w:szCs w:val="32"/>
          <w:lang w:val="en-US" w:eastAsia="zh-CN"/>
        </w:rPr>
        <w:t>练</w:t>
      </w:r>
      <w:r>
        <w:rPr>
          <w:rFonts w:hint="eastAsia" w:ascii="仿宋" w:hAnsi="仿宋" w:eastAsia="仿宋" w:cs="仿宋"/>
          <w:color w:val="auto"/>
          <w:sz w:val="32"/>
          <w:szCs w:val="32"/>
        </w:rPr>
        <w:t>。</w:t>
      </w:r>
    </w:p>
    <w:p>
      <w:pPr>
        <w:widowControl w:val="0"/>
        <w:wordWrap/>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8</w:t>
      </w:r>
      <w:r>
        <w:rPr>
          <w:rFonts w:hint="eastAsia" w:ascii="黑体" w:hAnsi="黑体" w:eastAsia="黑体" w:cs="黑体"/>
          <w:color w:val="auto"/>
          <w:sz w:val="32"/>
          <w:szCs w:val="32"/>
          <w:lang w:val="en-US" w:eastAsia="zh-CN"/>
        </w:rPr>
        <w:t>.</w:t>
      </w:r>
      <w:r>
        <w:rPr>
          <w:rFonts w:hint="eastAsia" w:ascii="黑体" w:hAnsi="黑体" w:eastAsia="黑体" w:cs="黑体"/>
          <w:color w:val="auto"/>
          <w:sz w:val="32"/>
          <w:szCs w:val="32"/>
        </w:rPr>
        <w:t>信息发布</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应急指挥部办公室</w:t>
      </w:r>
      <w:r>
        <w:rPr>
          <w:rFonts w:hint="eastAsia" w:ascii="仿宋" w:hAnsi="仿宋" w:eastAsia="仿宋" w:cs="仿宋"/>
          <w:color w:val="auto"/>
          <w:sz w:val="32"/>
          <w:szCs w:val="32"/>
          <w:lang w:val="en-US" w:eastAsia="zh-CN"/>
        </w:rPr>
        <w:t>和宣传部门</w:t>
      </w:r>
      <w:r>
        <w:rPr>
          <w:rFonts w:hint="eastAsia" w:ascii="仿宋" w:hAnsi="仿宋" w:eastAsia="仿宋" w:cs="仿宋"/>
          <w:color w:val="auto"/>
          <w:sz w:val="32"/>
          <w:szCs w:val="32"/>
        </w:rPr>
        <w:t>负责对事故信息统一对外发布，并负责拟定信息发布方案，及时采用适当方式发布信息，组织报道。</w:t>
      </w:r>
    </w:p>
    <w:p>
      <w:pPr>
        <w:widowControl w:val="0"/>
        <w:tabs>
          <w:tab w:val="left" w:pos="5338"/>
        </w:tabs>
        <w:wordWrap/>
        <w:spacing w:after="0" w:line="600" w:lineRule="exact"/>
        <w:ind w:left="0" w:leftChars="0" w:right="0" w:firstLine="640" w:firstLineChars="200"/>
        <w:jc w:val="both"/>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9</w:t>
      </w:r>
      <w:r>
        <w:rPr>
          <w:rFonts w:hint="eastAsia" w:ascii="黑体" w:hAnsi="黑体" w:eastAsia="黑体" w:cs="黑体"/>
          <w:color w:val="auto"/>
          <w:sz w:val="32"/>
          <w:szCs w:val="32"/>
          <w:lang w:eastAsia="zh-CN"/>
        </w:rPr>
        <w:t>.</w:t>
      </w:r>
      <w:r>
        <w:rPr>
          <w:rFonts w:hint="eastAsia" w:ascii="黑体" w:hAnsi="黑体" w:eastAsia="黑体" w:cs="黑体"/>
          <w:color w:val="auto"/>
          <w:sz w:val="32"/>
          <w:szCs w:val="32"/>
        </w:rPr>
        <w:t>附则</w:t>
      </w:r>
      <w:r>
        <w:rPr>
          <w:rFonts w:hint="eastAsia" w:ascii="黑体" w:hAnsi="黑体" w:eastAsia="黑体" w:cs="黑体"/>
          <w:color w:val="auto"/>
          <w:sz w:val="32"/>
          <w:szCs w:val="32"/>
          <w:lang w:eastAsia="zh-CN"/>
        </w:rPr>
        <w:tab/>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9.1</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预案管理</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本预案实施后，供电公司要会同有关部门组织预案宣传、培训和演练，并根据实际情况，适时组织评估和修订。</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9.2</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预案解释</w:t>
      </w: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本预案</w:t>
      </w:r>
      <w:r>
        <w:rPr>
          <w:rFonts w:hint="eastAsia" w:ascii="仿宋" w:hAnsi="仿宋" w:eastAsia="仿宋" w:cs="仿宋"/>
          <w:color w:val="auto"/>
          <w:sz w:val="32"/>
          <w:szCs w:val="32"/>
          <w:lang w:val="en-US" w:eastAsia="zh-CN"/>
        </w:rPr>
        <w:t>由区人民政府负责解释</w:t>
      </w:r>
      <w:r>
        <w:rPr>
          <w:rFonts w:hint="eastAsia" w:ascii="仿宋" w:hAnsi="仿宋" w:eastAsia="仿宋" w:cs="仿宋"/>
          <w:color w:val="auto"/>
          <w:sz w:val="32"/>
          <w:szCs w:val="32"/>
        </w:rPr>
        <w:t>。</w:t>
      </w:r>
    </w:p>
    <w:p>
      <w:pPr>
        <w:widowControl w:val="0"/>
        <w:wordWrap/>
        <w:adjustRightInd/>
        <w:snapToGrid/>
        <w:spacing w:after="0" w:line="600" w:lineRule="exact"/>
        <w:ind w:left="0" w:leftChars="0" w:right="0" w:firstLine="640" w:firstLineChars="200"/>
        <w:jc w:val="both"/>
        <w:textAlignment w:val="auto"/>
        <w:outlineLvl w:val="9"/>
        <w:rPr>
          <w:rFonts w:hint="eastAsia"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9.3</w:t>
      </w:r>
      <w:r>
        <w:rPr>
          <w:rFonts w:hint="eastAsia" w:ascii="楷体_GB2312" w:hAnsi="楷体_GB2312" w:eastAsia="楷体_GB2312" w:cs="楷体_GB2312"/>
          <w:color w:val="auto"/>
          <w:sz w:val="32"/>
          <w:szCs w:val="32"/>
          <w:lang w:val="en-US" w:eastAsia="zh-CN"/>
        </w:rPr>
        <w:t xml:space="preserve"> </w:t>
      </w:r>
      <w:r>
        <w:rPr>
          <w:rFonts w:hint="eastAsia" w:ascii="楷体_GB2312" w:hAnsi="楷体_GB2312" w:eastAsia="楷体_GB2312" w:cs="楷体_GB2312"/>
          <w:color w:val="auto"/>
          <w:sz w:val="32"/>
          <w:szCs w:val="32"/>
        </w:rPr>
        <w:t>预案实施时间</w:t>
      </w:r>
    </w:p>
    <w:p>
      <w:pPr>
        <w:widowControl w:val="0"/>
        <w:shd w:val="clear" w:color="auto" w:fill="FFFFFF"/>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rPr>
        <w:t>本预案自发</w:t>
      </w:r>
      <w:r>
        <w:rPr>
          <w:rFonts w:hint="eastAsia" w:ascii="仿宋" w:hAnsi="仿宋" w:eastAsia="仿宋" w:cs="仿宋"/>
          <w:color w:val="auto"/>
          <w:sz w:val="32"/>
          <w:szCs w:val="32"/>
          <w:lang w:val="en-US" w:eastAsia="zh-CN"/>
        </w:rPr>
        <w:t>布</w:t>
      </w:r>
      <w:r>
        <w:rPr>
          <w:rFonts w:hint="eastAsia" w:ascii="仿宋" w:hAnsi="仿宋" w:eastAsia="仿宋" w:cs="仿宋"/>
          <w:color w:val="auto"/>
          <w:sz w:val="32"/>
          <w:szCs w:val="32"/>
        </w:rPr>
        <w:t>之日起实施。</w:t>
      </w:r>
      <w:bookmarkStart w:id="0" w:name="_GoBack"/>
      <w:bookmarkEnd w:id="0"/>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shd w:val="clear" w:color="auto" w:fill="FFFFFF"/>
        <w:wordWrap/>
        <w:adjustRightInd/>
        <w:snapToGrid/>
        <w:spacing w:after="0" w:line="600" w:lineRule="exact"/>
        <w:ind w:left="0" w:leftChars="0" w:right="0"/>
        <w:jc w:val="both"/>
        <w:textAlignment w:val="auto"/>
        <w:outlineLvl w:val="9"/>
        <w:rPr>
          <w:rFonts w:hint="eastAsia" w:ascii="仿宋" w:hAnsi="仿宋" w:eastAsia="仿宋" w:cs="仿宋"/>
          <w:color w:val="auto"/>
          <w:sz w:val="32"/>
          <w:szCs w:val="32"/>
        </w:rPr>
      </w:pP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sz w:val="32"/>
          <w:szCs w:val="32"/>
          <w:lang w:val="en-US" w:eastAsia="zh-CN"/>
        </w:rPr>
      </w:pPr>
    </w:p>
    <w:p>
      <w:pPr>
        <w:widowControl w:val="0"/>
        <w:wordWrap/>
        <w:adjustRightInd/>
        <w:snapToGrid/>
        <w:spacing w:after="0" w:line="600" w:lineRule="exact"/>
        <w:ind w:left="0" w:leftChars="0" w:right="0" w:firstLine="640" w:firstLineChars="200"/>
        <w:jc w:val="both"/>
        <w:textAlignment w:val="auto"/>
        <w:outlineLvl w:val="9"/>
        <w:rPr>
          <w:rFonts w:hint="eastAsia" w:ascii="仿宋" w:hAnsi="仿宋" w:eastAsia="仿宋" w:cs="仿宋"/>
          <w:sz w:val="32"/>
          <w:szCs w:val="32"/>
          <w:lang w:val="en-US" w:eastAsia="zh-CN"/>
        </w:rPr>
      </w:pPr>
    </w:p>
    <w:p>
      <w:pPr>
        <w:widowControl w:val="0"/>
        <w:wordWrap/>
        <w:adjustRightInd/>
        <w:snapToGrid/>
        <w:spacing w:after="0" w:line="600" w:lineRule="exact"/>
        <w:ind w:left="0" w:leftChars="0" w:right="641" w:firstLine="0"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600" w:lineRule="exact"/>
        <w:ind w:left="0" w:leftChars="0" w:right="90" w:firstLine="279" w:firstLineChars="127"/>
        <w:jc w:val="left"/>
        <w:textAlignment w:val="auto"/>
        <w:outlineLvl w:val="9"/>
        <w:rPr>
          <w:rFonts w:ascii="仿宋" w:hAnsi="仿宋" w:eastAsia="仿宋" w:cs="仿宋"/>
          <w:spacing w:val="0"/>
          <w:sz w:val="28"/>
          <w:szCs w:val="28"/>
        </w:rPr>
      </w:pPr>
      <w:r>
        <w:rPr>
          <w:rFonts w:ascii="Calibri" w:hAnsi="Calibri" w:eastAsia="宋体" w:cs="黑体"/>
          <w:spacing w:val="0"/>
          <w:kern w:val="2"/>
          <w:sz w:val="22"/>
          <w:szCs w:val="22"/>
          <w:lang w:val="en-US" w:eastAsia="zh-CN" w:bidi="ar-SA"/>
        </w:rPr>
        <w:pict>
          <v:group id="组合 5" o:spid="_x0000_s1027" style="position:absolute;left:0;margin-left:3.8pt;margin-top:0.75pt;height:60.95pt;width:437.6pt;rotation:0f;z-index:251658240;" coordorigin="0,0" coordsize="8752,1219">
            <o:lock v:ext="edit" position="f" selection="f" grouping="f" rotation="f" cropping="f" text="f" aspectratio="f"/>
            <v:line id="Line 2" o:spid="_x0000_s1028" style="position:absolute;left:0;top:0;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line id="Line 3" o:spid="_x0000_s1029" style="position:absolute;left:0;top:624;flip:y;height:1;width:8753;rotation:0f;"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v:line id="Line 4" o:spid="_x0000_s1030" style="position:absolute;left:0;top:1219;flip:y;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group>
        </w:pict>
      </w:r>
      <w:r>
        <w:rPr>
          <w:rFonts w:hint="eastAsia" w:ascii="仿宋" w:hAnsi="仿宋" w:eastAsia="仿宋" w:cs="仿宋"/>
          <w:spacing w:val="0"/>
          <w:sz w:val="28"/>
          <w:szCs w:val="28"/>
        </w:rPr>
        <w:t>抄送：区委，区人大，区政协。</w:t>
      </w:r>
      <w:r>
        <w:rPr>
          <w:rFonts w:ascii="仿宋" w:hAnsi="仿宋" w:eastAsia="仿宋" w:cs="仿宋"/>
          <w:spacing w:val="0"/>
          <w:sz w:val="28"/>
          <w:szCs w:val="28"/>
        </w:rPr>
        <w:t xml:space="preserve">       </w:t>
      </w:r>
    </w:p>
    <w:p>
      <w:pPr>
        <w:widowControl/>
        <w:wordWrap/>
        <w:adjustRightInd w:val="0"/>
        <w:snapToGrid w:val="0"/>
        <w:spacing w:after="0" w:line="600" w:lineRule="exact"/>
        <w:ind w:left="0" w:leftChars="0" w:right="-90" w:firstLine="280" w:firstLineChars="100"/>
        <w:jc w:val="left"/>
        <w:textAlignment w:val="auto"/>
        <w:outlineLvl w:val="9"/>
        <w:rPr>
          <w:rFonts w:hint="eastAsia" w:ascii="仿宋" w:hAnsi="仿宋" w:eastAsia="仿宋" w:cs="仿宋"/>
          <w:color w:val="auto"/>
          <w:sz w:val="32"/>
          <w:szCs w:val="32"/>
        </w:rPr>
      </w:pPr>
      <w:r>
        <w:rPr>
          <w:rFonts w:hint="eastAsia" w:ascii="仿宋" w:hAnsi="仿宋" w:eastAsia="仿宋"/>
          <w:spacing w:val="0"/>
          <w:sz w:val="28"/>
          <w:szCs w:val="28"/>
        </w:rPr>
        <w:t>益阳市赫山区人民政府办公室</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201</w:t>
      </w:r>
      <w:r>
        <w:rPr>
          <w:rFonts w:hint="eastAsia" w:ascii="仿宋" w:hAnsi="仿宋" w:eastAsia="仿宋"/>
          <w:spacing w:val="0"/>
          <w:sz w:val="28"/>
          <w:szCs w:val="28"/>
          <w:lang w:val="en-US" w:eastAsia="zh-CN"/>
        </w:rPr>
        <w:t>8</w:t>
      </w:r>
      <w:r>
        <w:rPr>
          <w:rFonts w:hint="eastAsia" w:ascii="仿宋" w:hAnsi="仿宋" w:eastAsia="仿宋"/>
          <w:spacing w:val="0"/>
          <w:sz w:val="28"/>
          <w:szCs w:val="28"/>
        </w:rPr>
        <w:t>年</w:t>
      </w:r>
      <w:r>
        <w:rPr>
          <w:rFonts w:hint="eastAsia" w:ascii="仿宋" w:hAnsi="仿宋" w:eastAsia="仿宋"/>
          <w:spacing w:val="0"/>
          <w:sz w:val="28"/>
          <w:szCs w:val="28"/>
          <w:lang w:val="en-US" w:eastAsia="zh-CN"/>
        </w:rPr>
        <w:t>9</w:t>
      </w:r>
      <w:r>
        <w:rPr>
          <w:rFonts w:hint="eastAsia" w:ascii="仿宋" w:hAnsi="仿宋" w:eastAsia="仿宋"/>
          <w:spacing w:val="0"/>
          <w:sz w:val="28"/>
          <w:szCs w:val="28"/>
        </w:rPr>
        <w:t>月</w:t>
      </w:r>
      <w:r>
        <w:rPr>
          <w:rFonts w:hint="eastAsia" w:ascii="仿宋" w:hAnsi="仿宋" w:eastAsia="仿宋"/>
          <w:spacing w:val="0"/>
          <w:sz w:val="28"/>
          <w:szCs w:val="28"/>
          <w:lang w:val="en-US" w:eastAsia="zh-CN"/>
        </w:rPr>
        <w:t>25</w:t>
      </w:r>
      <w:r>
        <w:rPr>
          <w:rFonts w:hint="eastAsia" w:ascii="仿宋" w:hAnsi="仿宋" w:eastAsia="仿宋"/>
          <w:spacing w:val="0"/>
          <w:sz w:val="28"/>
          <w:szCs w:val="28"/>
        </w:rPr>
        <w:t>日印发</w:t>
      </w:r>
    </w:p>
    <w:sectPr>
      <w:headerReference r:id="rId4" w:type="default"/>
      <w:footerReference r:id="rId5" w:type="default"/>
      <w:pgSz w:w="11907" w:h="16839"/>
      <w:pgMar w:top="2098" w:right="1474" w:bottom="1984" w:left="1587" w:header="851" w:footer="1417" w:gutter="0"/>
      <w:paperSrc w:first="0" w:other="0"/>
      <w:pgNumType w:fmt="numberInDash"/>
      <w:cols w:space="720" w:num="1"/>
      <w:rtlGutter w:val="0"/>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widowControl/>
      <w:wordWrap/>
      <w:adjustRightInd w:val="0"/>
      <w:snapToGrid w:val="0"/>
      <w:spacing w:after="0" w:line="240" w:lineRule="auto"/>
      <w:ind w:left="0" w:leftChars="0" w:right="0" w:firstLine="0" w:firstLineChars="0"/>
      <w:jc w:val="left"/>
      <w:textAlignment w:val="auto"/>
      <w:outlineLvl w:val="9"/>
    </w:pPr>
    <w:r>
      <w:rPr>
        <w:rFonts w:ascii="Tahoma" w:hAnsi="Tahoma" w:eastAsia="微软雅黑" w:cs="黑体"/>
        <w:sz w:val="18"/>
        <w:szCs w:val="22"/>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t>- 1 -</w:t>
                </w:r>
                <w:r>
                  <w:rPr>
                    <w:rFonts w:hint="eastAsia" w:ascii="宋体" w:hAnsi="宋体" w:eastAsia="宋体" w:cs="宋体"/>
                    <w:sz w:val="28"/>
                    <w:szCs w:val="2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documentProtection w:edit="readOnly" w:enforcement="1" w:cryptProviderType="rsaFull" w:cryptAlgorithmClass="hash" w:cryptAlgorithmType="typeAny" w:cryptAlgorithmSid="4" w:cryptSpinCount="0" w:hash="Lmuv9U00gNcHFepdtjBmE4uzI+I=" w:salt="8EEDWDsHCGEFxFRp734Bmw=="/>
  <w:defaultTabStop w:val="720"/>
  <w:drawingGridHorizontalSpacing w:val="120"/>
  <w:drawingGridVerticalSpacing w:val="163"/>
  <w:displayHorizontalDrawingGridEvery w:val="0"/>
  <w:displayVerticalDrawingGridEvery w:val="2"/>
  <w:characterSpacingControl w:val="doNotCompress"/>
  <w:compat>
    <w:spaceForUL/>
    <w:doNotLeaveBackslashAlone/>
    <w:ulTrailSpac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8D1E91"/>
    <w:rsid w:val="00045A44"/>
    <w:rsid w:val="00245C44"/>
    <w:rsid w:val="00323B43"/>
    <w:rsid w:val="003D37D8"/>
    <w:rsid w:val="003D3D97"/>
    <w:rsid w:val="003D3EFD"/>
    <w:rsid w:val="004358AB"/>
    <w:rsid w:val="004662C4"/>
    <w:rsid w:val="005720F3"/>
    <w:rsid w:val="006E6966"/>
    <w:rsid w:val="007103F7"/>
    <w:rsid w:val="00776596"/>
    <w:rsid w:val="00856249"/>
    <w:rsid w:val="0086454A"/>
    <w:rsid w:val="008B7726"/>
    <w:rsid w:val="008D1E91"/>
    <w:rsid w:val="009B77C0"/>
    <w:rsid w:val="00B45FB2"/>
    <w:rsid w:val="00CB0AC5"/>
    <w:rsid w:val="00D2783D"/>
    <w:rsid w:val="06DB57CD"/>
    <w:rsid w:val="111C391B"/>
    <w:rsid w:val="13990EDE"/>
    <w:rsid w:val="172E61B0"/>
    <w:rsid w:val="19DE4E5A"/>
    <w:rsid w:val="1E185370"/>
    <w:rsid w:val="1F9F421C"/>
    <w:rsid w:val="23BF6EB5"/>
    <w:rsid w:val="39AA779F"/>
    <w:rsid w:val="3D240231"/>
    <w:rsid w:val="4537221B"/>
    <w:rsid w:val="4EA74984"/>
    <w:rsid w:val="534324B6"/>
    <w:rsid w:val="60D6106E"/>
    <w:rsid w:val="63FD6018"/>
    <w:rsid w:val="6D4C64CF"/>
    <w:rsid w:val="6E78714C"/>
    <w:rsid w:val="73424B26"/>
    <w:rsid w:val="7C5E5E0F"/>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微软雅黑"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黑体"/>
      <w:sz w:val="22"/>
      <w:szCs w:val="22"/>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Style w:val="7"/>
      <w:tblLayout w:type="fixed"/>
      <w:tblCellMar>
        <w:top w:w="0" w:type="dxa"/>
        <w:left w:w="108" w:type="dxa"/>
        <w:bottom w:w="0" w:type="dxa"/>
        <w:right w:w="108" w:type="dxa"/>
      </w:tblCellMar>
    </w:tblPr>
    <w:tcPr>
      <w:textDirection w:val="lrTb"/>
    </w:tcPr>
  </w:style>
  <w:style w:type="paragraph" w:styleId="2">
    <w:name w:val="footer"/>
    <w:basedOn w:val="1"/>
    <w:unhideWhenUsed/>
    <w:uiPriority w:val="99"/>
    <w:pPr>
      <w:tabs>
        <w:tab w:val="center" w:pos="4153"/>
        <w:tab w:val="right" w:pos="8306"/>
      </w:tabs>
      <w:snapToGrid w:val="0"/>
      <w:jc w:val="left"/>
    </w:pPr>
    <w:rPr>
      <w:sz w:val="18"/>
    </w:rPr>
  </w:style>
  <w:style w:type="paragraph" w:styleId="3">
    <w:name w:val="header"/>
    <w:basedOn w:val="1"/>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Normal (Web)"/>
    <w:basedOn w:val="1"/>
    <w:unhideWhenUsed/>
    <w:uiPriority w:val="99"/>
    <w:pPr>
      <w:adjustRightInd/>
      <w:snapToGrid/>
      <w:spacing w:before="100" w:beforeAutospacing="1" w:after="100" w:afterAutospacing="1"/>
    </w:pPr>
    <w:rPr>
      <w:rFonts w:ascii="宋体" w:hAnsi="宋体" w:eastAsia="宋体" w:cs="宋体"/>
      <w:sz w:val="24"/>
      <w:szCs w:val="24"/>
    </w:rPr>
  </w:style>
  <w:style w:type="character" w:styleId="6">
    <w:name w:val="page number"/>
    <w:basedOn w:val="5"/>
    <w:unhideWhenUsed/>
    <w:uiPriority w:val="99"/>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994</Words>
  <Characters>6891</Characters>
  <Lines>47</Lines>
  <Paragraphs>13</Paragraphs>
  <ScaleCrop>false</ScaleCrop>
  <LinksUpToDate>false</LinksUpToDate>
  <CharactersWithSpaces>0</CharactersWithSpaces>
  <Application>WPS Office 个人版_9.1.0.4994_{F1E327BC-269C-435d-A152-05C5408002CA}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2017-11-23T06:47:00Z</dcterms:created>
  <dc:creator>user</dc:creator>
  <cp:lastModifiedBy>P&amp;G</cp:lastModifiedBy>
  <cp:lastPrinted>2018-09-26T07:33:47Z</cp:lastPrinted>
  <dcterms:modified xsi:type="dcterms:W3CDTF">2018-09-26T07:34:50Z</dcterms:modified>
  <dc:title>益阳市赫山区人民政府</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2052-9.1.0.4994</vt:lpwstr>
  </property>
</Properties>
</file>