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N/>
        <w:bidi w:val="0"/>
        <w:adjustRightInd/>
        <w:snapToGrid/>
        <w:spacing w:line="560" w:lineRule="exact"/>
        <w:jc w:val="center"/>
        <w:textAlignment w:val="auto"/>
        <w:outlineLvl w:val="9"/>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共青团益阳市赫山区委员会</w:t>
      </w:r>
    </w:p>
    <w:p>
      <w:pPr>
        <w:keepNext w:val="0"/>
        <w:keepLines w:val="0"/>
        <w:pageBreakBefore w:val="0"/>
        <w:kinsoku/>
        <w:wordWrap/>
        <w:overflowPunct/>
        <w:topLinePunct w:val="0"/>
        <w:autoSpaceDN/>
        <w:bidi w:val="0"/>
        <w:adjustRightInd/>
        <w:snapToGrid/>
        <w:spacing w:line="560" w:lineRule="exact"/>
        <w:jc w:val="center"/>
        <w:textAlignment w:val="auto"/>
        <w:outlineLvl w:val="9"/>
        <w:rPr>
          <w:rFonts w:hint="eastAsia" w:ascii="方正小标宋简体" w:eastAsia="方正小标宋简体"/>
          <w:sz w:val="44"/>
          <w:szCs w:val="44"/>
        </w:rPr>
      </w:pPr>
      <w:r>
        <w:rPr>
          <w:rFonts w:hint="eastAsia" w:ascii="方正小标宋简体" w:eastAsia="方正小标宋简体"/>
          <w:sz w:val="44"/>
          <w:szCs w:val="44"/>
        </w:rPr>
        <w:t>201</w:t>
      </w:r>
      <w:r>
        <w:rPr>
          <w:rFonts w:hint="eastAsia" w:ascii="方正小标宋简体" w:eastAsia="方正小标宋简体"/>
          <w:sz w:val="44"/>
          <w:szCs w:val="44"/>
          <w:lang w:val="en-US" w:eastAsia="zh-CN"/>
        </w:rPr>
        <w:t>8</w:t>
      </w:r>
      <w:r>
        <w:rPr>
          <w:rFonts w:hint="eastAsia" w:ascii="方正小标宋简体" w:eastAsia="方正小标宋简体"/>
          <w:sz w:val="44"/>
          <w:szCs w:val="44"/>
        </w:rPr>
        <w:t>年度部门整体支出绩效评价报告</w:t>
      </w:r>
    </w:p>
    <w:p>
      <w:pPr>
        <w:pStyle w:val="4"/>
        <w:keepNext w:val="0"/>
        <w:keepLines w:val="0"/>
        <w:pageBreakBefore w:val="0"/>
        <w:shd w:val="clear" w:color="auto" w:fill="FFFFFF"/>
        <w:kinsoku/>
        <w:wordWrap/>
        <w:overflowPunct/>
        <w:topLinePunct w:val="0"/>
        <w:autoSpaceDN/>
        <w:bidi w:val="0"/>
        <w:adjustRightInd/>
        <w:snapToGrid/>
        <w:spacing w:before="0" w:beforeAutospacing="0" w:after="0" w:afterAutospacing="0" w:line="560" w:lineRule="exact"/>
        <w:ind w:firstLine="800" w:firstLineChars="250"/>
        <w:jc w:val="both"/>
        <w:textAlignment w:val="auto"/>
        <w:outlineLvl w:val="9"/>
        <w:rPr>
          <w:rFonts w:hint="eastAsia" w:ascii="仿宋" w:hAnsi="仿宋" w:eastAsia="仿宋"/>
          <w:sz w:val="32"/>
          <w:szCs w:val="32"/>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eastAsia="zh-CN"/>
        </w:rPr>
        <w:t>我委</w:t>
      </w:r>
      <w:r>
        <w:rPr>
          <w:rFonts w:hint="eastAsia" w:ascii="仿宋_GB2312" w:hAnsi="仿宋_GB2312" w:eastAsia="仿宋_GB2312" w:cs="仿宋_GB2312"/>
          <w:color w:val="000000"/>
          <w:kern w:val="2"/>
          <w:sz w:val="32"/>
          <w:szCs w:val="32"/>
        </w:rPr>
        <w:t>本着独立、客观、公正、科学的原则，按照公认的绩效评价方法，对201</w:t>
      </w:r>
      <w:r>
        <w:rPr>
          <w:rFonts w:hint="eastAsia" w:ascii="仿宋_GB2312" w:hAnsi="仿宋_GB2312" w:eastAsia="仿宋_GB2312" w:cs="仿宋_GB2312"/>
          <w:color w:val="000000"/>
          <w:kern w:val="2"/>
          <w:sz w:val="32"/>
          <w:szCs w:val="32"/>
          <w:lang w:val="en-US" w:eastAsia="zh-CN"/>
        </w:rPr>
        <w:t>8</w:t>
      </w:r>
      <w:r>
        <w:rPr>
          <w:rFonts w:hint="eastAsia" w:ascii="仿宋_GB2312" w:hAnsi="仿宋_GB2312" w:eastAsia="仿宋_GB2312" w:cs="仿宋_GB2312"/>
          <w:color w:val="000000"/>
          <w:kern w:val="2"/>
          <w:sz w:val="32"/>
          <w:szCs w:val="32"/>
        </w:rPr>
        <w:t>年度本单位整体支出进行了绩效自评，现将具体绩效评价情况报告如下：</w:t>
      </w:r>
    </w:p>
    <w:p>
      <w:pPr>
        <w:keepNext w:val="0"/>
        <w:keepLines w:val="0"/>
        <w:pageBreakBefore w:val="0"/>
        <w:numPr>
          <w:ilvl w:val="0"/>
          <w:numId w:val="0"/>
        </w:numPr>
        <w:kinsoku/>
        <w:wordWrap/>
        <w:overflowPunct/>
        <w:topLinePunct w:val="0"/>
        <w:autoSpaceDN/>
        <w:bidi w:val="0"/>
        <w:adjustRightInd/>
        <w:snapToGrid/>
        <w:spacing w:line="560" w:lineRule="exact"/>
        <w:ind w:firstLine="640" w:firstLineChars="200"/>
        <w:textAlignment w:val="auto"/>
        <w:outlineLvl w:val="9"/>
        <w:rPr>
          <w:rFonts w:hint="eastAsia" w:ascii="黑体" w:hAnsi="黑体" w:eastAsia="黑体" w:cs="黑体"/>
          <w:b w:val="0"/>
          <w:bCs/>
          <w:sz w:val="32"/>
          <w:szCs w:val="32"/>
        </w:rPr>
      </w:pPr>
      <w:r>
        <w:rPr>
          <w:rFonts w:hint="eastAsia" w:ascii="黑体" w:hAnsi="黑体" w:eastAsia="黑体" w:cs="黑体"/>
          <w:b w:val="0"/>
          <w:bCs/>
          <w:color w:val="000000"/>
          <w:kern w:val="0"/>
          <w:sz w:val="32"/>
          <w:szCs w:val="32"/>
          <w:lang w:val="en-US" w:eastAsia="zh-CN"/>
        </w:rPr>
        <w:t>一、</w:t>
      </w:r>
      <w:r>
        <w:rPr>
          <w:rFonts w:hint="eastAsia" w:ascii="黑体" w:hAnsi="黑体" w:eastAsia="黑体" w:cs="黑体"/>
          <w:b w:val="0"/>
          <w:bCs/>
          <w:color w:val="000000"/>
          <w:kern w:val="0"/>
          <w:sz w:val="32"/>
          <w:szCs w:val="32"/>
        </w:rPr>
        <w:t>基本情况</w:t>
      </w:r>
    </w:p>
    <w:p>
      <w:pPr>
        <w:pStyle w:val="4"/>
        <w:keepNext w:val="0"/>
        <w:keepLines w:val="0"/>
        <w:pageBreakBefore w:val="0"/>
        <w:shd w:val="clear" w:color="auto" w:fill="FFFFFF"/>
        <w:kinsoku/>
        <w:wordWrap/>
        <w:overflowPunct/>
        <w:topLinePunct w:val="0"/>
        <w:autoSpaceDN/>
        <w:bidi w:val="0"/>
        <w:adjustRightInd/>
        <w:snapToGrid/>
        <w:spacing w:before="0" w:beforeAutospacing="0" w:after="0" w:afterAutospacing="0" w:line="560" w:lineRule="exact"/>
        <w:ind w:firstLine="640" w:firstLineChars="200"/>
        <w:jc w:val="both"/>
        <w:textAlignment w:val="auto"/>
        <w:outlineLvl w:val="9"/>
        <w:rPr>
          <w:rFonts w:hint="eastAsia" w:ascii="楷体" w:hAnsi="楷体" w:eastAsia="楷体" w:cs="楷体"/>
          <w:b w:val="0"/>
          <w:bCs w:val="0"/>
          <w:sz w:val="32"/>
          <w:szCs w:val="32"/>
        </w:rPr>
      </w:pPr>
      <w:r>
        <w:rPr>
          <w:rFonts w:hint="eastAsia" w:ascii="楷体" w:hAnsi="楷体" w:eastAsia="楷体" w:cs="楷体"/>
          <w:b w:val="0"/>
          <w:bCs w:val="0"/>
          <w:sz w:val="32"/>
          <w:szCs w:val="32"/>
        </w:rPr>
        <w:t>（</w:t>
      </w:r>
      <w:r>
        <w:rPr>
          <w:rFonts w:hint="eastAsia" w:ascii="楷体" w:hAnsi="楷体" w:eastAsia="楷体" w:cs="楷体"/>
          <w:b w:val="0"/>
          <w:bCs w:val="0"/>
          <w:sz w:val="32"/>
          <w:szCs w:val="32"/>
          <w:lang w:val="en-US" w:eastAsia="zh-CN"/>
        </w:rPr>
        <w:t>一</w:t>
      </w:r>
      <w:r>
        <w:rPr>
          <w:rFonts w:hint="eastAsia" w:ascii="楷体" w:hAnsi="楷体" w:eastAsia="楷体" w:cs="楷体"/>
          <w:b w:val="0"/>
          <w:bCs w:val="0"/>
          <w:sz w:val="32"/>
          <w:szCs w:val="32"/>
        </w:rPr>
        <w:t>）部门整体支出概况</w:t>
      </w:r>
    </w:p>
    <w:p>
      <w:pPr>
        <w:pStyle w:val="4"/>
        <w:keepNext w:val="0"/>
        <w:keepLines w:val="0"/>
        <w:pageBreakBefore w:val="0"/>
        <w:shd w:val="clear" w:color="auto" w:fill="FFFFFF"/>
        <w:kinsoku/>
        <w:wordWrap/>
        <w:overflowPunct/>
        <w:topLinePunct w:val="0"/>
        <w:autoSpaceDN/>
        <w:bidi w:val="0"/>
        <w:adjustRightInd/>
        <w:snapToGrid/>
        <w:spacing w:before="0" w:beforeAutospacing="0" w:after="0" w:afterAutospacing="0" w:line="560" w:lineRule="exact"/>
        <w:ind w:firstLine="640" w:firstLineChars="200"/>
        <w:jc w:val="both"/>
        <w:textAlignment w:val="auto"/>
        <w:outlineLvl w:val="9"/>
        <w:rPr>
          <w:rFonts w:hint="eastAsia" w:ascii="仿宋" w:hAnsi="仿宋" w:eastAsia="仿宋"/>
          <w:color w:val="auto"/>
          <w:sz w:val="32"/>
          <w:szCs w:val="32"/>
        </w:rPr>
      </w:pPr>
      <w:r>
        <w:rPr>
          <w:rFonts w:hint="eastAsia" w:ascii="仿宋" w:hAnsi="仿宋" w:eastAsia="仿宋"/>
          <w:color w:val="auto"/>
          <w:sz w:val="32"/>
          <w:szCs w:val="32"/>
        </w:rPr>
        <w:t>部门决算收支情况：201</w:t>
      </w:r>
      <w:r>
        <w:rPr>
          <w:rFonts w:hint="eastAsia" w:ascii="仿宋" w:hAnsi="仿宋" w:eastAsia="仿宋"/>
          <w:color w:val="auto"/>
          <w:sz w:val="32"/>
          <w:szCs w:val="32"/>
          <w:lang w:val="en-US" w:eastAsia="zh-CN"/>
        </w:rPr>
        <w:t>8</w:t>
      </w:r>
      <w:r>
        <w:rPr>
          <w:rFonts w:hint="eastAsia" w:ascii="仿宋" w:hAnsi="仿宋" w:eastAsia="仿宋"/>
          <w:color w:val="auto"/>
          <w:sz w:val="32"/>
          <w:szCs w:val="32"/>
        </w:rPr>
        <w:t>年</w:t>
      </w:r>
      <w:r>
        <w:rPr>
          <w:rFonts w:hint="eastAsia" w:ascii="仿宋" w:hAnsi="仿宋" w:eastAsia="仿宋"/>
          <w:color w:val="auto"/>
          <w:sz w:val="32"/>
          <w:szCs w:val="32"/>
          <w:lang w:eastAsia="zh-CN"/>
        </w:rPr>
        <w:t>我委</w:t>
      </w:r>
      <w:r>
        <w:rPr>
          <w:rFonts w:hint="eastAsia" w:ascii="仿宋" w:hAnsi="仿宋" w:eastAsia="仿宋"/>
          <w:color w:val="auto"/>
          <w:sz w:val="32"/>
          <w:szCs w:val="32"/>
        </w:rPr>
        <w:t>总收入</w:t>
      </w:r>
      <w:r>
        <w:rPr>
          <w:rFonts w:hint="eastAsia" w:ascii="仿宋" w:hAnsi="仿宋" w:eastAsia="仿宋"/>
          <w:color w:val="auto"/>
          <w:sz w:val="32"/>
          <w:szCs w:val="32"/>
          <w:lang w:val="en-US" w:eastAsia="zh-CN"/>
        </w:rPr>
        <w:t>228.94</w:t>
      </w:r>
      <w:r>
        <w:rPr>
          <w:rFonts w:hint="eastAsia" w:ascii="仿宋" w:hAnsi="仿宋" w:eastAsia="仿宋"/>
          <w:color w:val="auto"/>
          <w:sz w:val="32"/>
          <w:szCs w:val="32"/>
        </w:rPr>
        <w:t>万元，其中：一般公共预算财政拨款</w:t>
      </w:r>
      <w:r>
        <w:rPr>
          <w:rFonts w:hint="eastAsia" w:ascii="仿宋" w:hAnsi="仿宋" w:eastAsia="仿宋"/>
          <w:color w:val="auto"/>
          <w:sz w:val="32"/>
          <w:szCs w:val="32"/>
          <w:lang w:val="en-US" w:eastAsia="zh-CN"/>
        </w:rPr>
        <w:t>108.76万</w:t>
      </w:r>
      <w:r>
        <w:rPr>
          <w:rFonts w:hint="eastAsia" w:ascii="仿宋" w:hAnsi="仿宋" w:eastAsia="仿宋"/>
          <w:color w:val="auto"/>
          <w:sz w:val="32"/>
          <w:szCs w:val="32"/>
        </w:rPr>
        <w:t>元，</w:t>
      </w:r>
      <w:r>
        <w:rPr>
          <w:rFonts w:hint="eastAsia" w:ascii="仿宋" w:hAnsi="仿宋" w:eastAsia="仿宋"/>
          <w:color w:val="auto"/>
          <w:sz w:val="32"/>
          <w:szCs w:val="32"/>
          <w:lang w:eastAsia="zh-CN"/>
        </w:rPr>
        <w:t>其他收入</w:t>
      </w:r>
      <w:r>
        <w:rPr>
          <w:rFonts w:hint="eastAsia" w:ascii="仿宋" w:hAnsi="仿宋" w:eastAsia="仿宋"/>
          <w:color w:val="auto"/>
          <w:sz w:val="32"/>
          <w:szCs w:val="32"/>
          <w:lang w:val="en-US" w:eastAsia="zh-CN"/>
        </w:rPr>
        <w:t>91.92万元，</w:t>
      </w:r>
      <w:r>
        <w:rPr>
          <w:rFonts w:hint="eastAsia" w:ascii="仿宋" w:hAnsi="仿宋" w:eastAsia="仿宋"/>
          <w:color w:val="auto"/>
          <w:sz w:val="32"/>
          <w:szCs w:val="32"/>
        </w:rPr>
        <w:t>上年结转结余</w:t>
      </w:r>
      <w:r>
        <w:rPr>
          <w:rFonts w:hint="eastAsia" w:ascii="仿宋" w:hAnsi="仿宋" w:eastAsia="仿宋"/>
          <w:color w:val="auto"/>
          <w:sz w:val="32"/>
          <w:szCs w:val="32"/>
          <w:lang w:val="en-US" w:eastAsia="zh-CN"/>
        </w:rPr>
        <w:t>28.26</w:t>
      </w:r>
      <w:r>
        <w:rPr>
          <w:rFonts w:hint="eastAsia" w:ascii="仿宋" w:hAnsi="仿宋" w:eastAsia="仿宋"/>
          <w:color w:val="auto"/>
          <w:sz w:val="32"/>
          <w:szCs w:val="32"/>
        </w:rPr>
        <w:t>万元。201</w:t>
      </w:r>
      <w:r>
        <w:rPr>
          <w:rFonts w:hint="eastAsia" w:ascii="仿宋" w:hAnsi="仿宋" w:eastAsia="仿宋"/>
          <w:color w:val="auto"/>
          <w:sz w:val="32"/>
          <w:szCs w:val="32"/>
          <w:lang w:val="en-US" w:eastAsia="zh-CN"/>
        </w:rPr>
        <w:t>8</w:t>
      </w:r>
      <w:r>
        <w:rPr>
          <w:rFonts w:hint="eastAsia" w:ascii="仿宋" w:hAnsi="仿宋" w:eastAsia="仿宋"/>
          <w:color w:val="auto"/>
          <w:sz w:val="32"/>
          <w:szCs w:val="32"/>
        </w:rPr>
        <w:t>年</w:t>
      </w:r>
      <w:r>
        <w:rPr>
          <w:rFonts w:hint="eastAsia" w:ascii="仿宋" w:hAnsi="仿宋" w:eastAsia="仿宋"/>
          <w:color w:val="auto"/>
          <w:sz w:val="32"/>
          <w:szCs w:val="32"/>
          <w:lang w:eastAsia="zh-CN"/>
        </w:rPr>
        <w:t>我委</w:t>
      </w:r>
      <w:r>
        <w:rPr>
          <w:rFonts w:hint="eastAsia" w:ascii="仿宋" w:hAnsi="仿宋" w:eastAsia="仿宋"/>
          <w:color w:val="auto"/>
          <w:sz w:val="32"/>
          <w:szCs w:val="32"/>
        </w:rPr>
        <w:t>总支出</w:t>
      </w:r>
      <w:r>
        <w:rPr>
          <w:rFonts w:hint="eastAsia" w:ascii="仿宋" w:hAnsi="仿宋" w:eastAsia="仿宋"/>
          <w:color w:val="auto"/>
          <w:sz w:val="32"/>
          <w:szCs w:val="32"/>
          <w:lang w:val="en-US" w:eastAsia="zh-CN"/>
        </w:rPr>
        <w:t>207.09</w:t>
      </w:r>
      <w:r>
        <w:rPr>
          <w:rFonts w:hint="eastAsia" w:ascii="仿宋" w:hAnsi="仿宋" w:eastAsia="仿宋"/>
          <w:color w:val="auto"/>
          <w:sz w:val="32"/>
          <w:szCs w:val="32"/>
        </w:rPr>
        <w:t>万元，其中：基本支出</w:t>
      </w:r>
      <w:r>
        <w:rPr>
          <w:rFonts w:hint="eastAsia" w:ascii="仿宋" w:hAnsi="仿宋" w:eastAsia="仿宋"/>
          <w:color w:val="auto"/>
          <w:sz w:val="32"/>
          <w:szCs w:val="32"/>
          <w:lang w:val="en-US" w:eastAsia="zh-CN"/>
        </w:rPr>
        <w:t>122.27</w:t>
      </w:r>
      <w:r>
        <w:rPr>
          <w:rFonts w:hint="eastAsia" w:ascii="仿宋" w:hAnsi="仿宋" w:eastAsia="仿宋"/>
          <w:color w:val="auto"/>
          <w:sz w:val="32"/>
          <w:szCs w:val="32"/>
        </w:rPr>
        <w:t>万元</w:t>
      </w:r>
      <w:r>
        <w:rPr>
          <w:rFonts w:hint="eastAsia" w:ascii="仿宋" w:hAnsi="仿宋" w:eastAsia="仿宋"/>
          <w:color w:val="auto"/>
          <w:sz w:val="32"/>
          <w:szCs w:val="32"/>
          <w:lang w:eastAsia="zh-CN"/>
        </w:rPr>
        <w:t>，项目支出</w:t>
      </w:r>
      <w:r>
        <w:rPr>
          <w:rFonts w:hint="eastAsia" w:ascii="仿宋" w:hAnsi="仿宋" w:eastAsia="仿宋"/>
          <w:color w:val="auto"/>
          <w:sz w:val="32"/>
          <w:szCs w:val="32"/>
          <w:lang w:val="en-US" w:eastAsia="zh-CN"/>
        </w:rPr>
        <w:t>84.83万元</w:t>
      </w:r>
      <w:r>
        <w:rPr>
          <w:rFonts w:hint="eastAsia" w:ascii="仿宋" w:hAnsi="仿宋" w:eastAsia="仿宋"/>
          <w:color w:val="auto"/>
          <w:sz w:val="32"/>
          <w:szCs w:val="32"/>
        </w:rPr>
        <w:t>。部门决算年终结转结余情况：201</w:t>
      </w:r>
      <w:r>
        <w:rPr>
          <w:rFonts w:hint="eastAsia" w:ascii="仿宋" w:hAnsi="仿宋" w:eastAsia="仿宋"/>
          <w:color w:val="auto"/>
          <w:sz w:val="32"/>
          <w:szCs w:val="32"/>
          <w:lang w:val="en-US" w:eastAsia="zh-CN"/>
        </w:rPr>
        <w:t>8</w:t>
      </w:r>
      <w:r>
        <w:rPr>
          <w:rFonts w:hint="eastAsia" w:ascii="仿宋" w:hAnsi="仿宋" w:eastAsia="仿宋"/>
          <w:color w:val="auto"/>
          <w:sz w:val="32"/>
          <w:szCs w:val="32"/>
        </w:rPr>
        <w:t>年</w:t>
      </w:r>
      <w:r>
        <w:rPr>
          <w:rFonts w:hint="eastAsia" w:ascii="仿宋" w:hAnsi="仿宋" w:eastAsia="仿宋"/>
          <w:color w:val="auto"/>
          <w:sz w:val="32"/>
          <w:szCs w:val="32"/>
          <w:lang w:eastAsia="zh-CN"/>
        </w:rPr>
        <w:t>我委</w:t>
      </w:r>
      <w:r>
        <w:rPr>
          <w:rFonts w:hint="eastAsia" w:ascii="仿宋" w:hAnsi="仿宋" w:eastAsia="仿宋"/>
          <w:color w:val="auto"/>
          <w:sz w:val="32"/>
          <w:szCs w:val="32"/>
        </w:rPr>
        <w:t>累计结转结余</w:t>
      </w:r>
      <w:r>
        <w:rPr>
          <w:rFonts w:hint="eastAsia" w:ascii="仿宋" w:hAnsi="仿宋" w:eastAsia="仿宋"/>
          <w:color w:val="auto"/>
          <w:sz w:val="32"/>
          <w:szCs w:val="32"/>
          <w:lang w:val="en-US" w:eastAsia="zh-CN"/>
        </w:rPr>
        <w:t>21.86</w:t>
      </w:r>
      <w:r>
        <w:rPr>
          <w:rFonts w:hint="eastAsia" w:ascii="仿宋" w:hAnsi="仿宋" w:eastAsia="仿宋"/>
          <w:color w:val="auto"/>
          <w:sz w:val="32"/>
          <w:szCs w:val="32"/>
        </w:rPr>
        <w:t>万元。</w:t>
      </w:r>
    </w:p>
    <w:p>
      <w:pPr>
        <w:pStyle w:val="4"/>
        <w:keepNext w:val="0"/>
        <w:keepLines w:val="0"/>
        <w:pageBreakBefore w:val="0"/>
        <w:shd w:val="clear" w:color="auto" w:fill="FFFFFF"/>
        <w:kinsoku/>
        <w:wordWrap/>
        <w:overflowPunct/>
        <w:topLinePunct w:val="0"/>
        <w:autoSpaceDN/>
        <w:bidi w:val="0"/>
        <w:adjustRightInd/>
        <w:snapToGrid/>
        <w:spacing w:before="0" w:beforeAutospacing="0" w:after="0" w:afterAutospacing="0" w:line="560" w:lineRule="exact"/>
        <w:ind w:firstLine="640" w:firstLineChars="200"/>
        <w:jc w:val="both"/>
        <w:textAlignment w:val="auto"/>
        <w:outlineLvl w:val="9"/>
        <w:rPr>
          <w:rFonts w:hint="eastAsia" w:ascii="楷体" w:hAnsi="楷体" w:eastAsia="楷体" w:cs="楷体"/>
          <w:b w:val="0"/>
          <w:bCs w:val="0"/>
          <w:sz w:val="32"/>
          <w:szCs w:val="32"/>
        </w:rPr>
      </w:pPr>
      <w:r>
        <w:rPr>
          <w:rFonts w:hint="eastAsia" w:ascii="楷体" w:hAnsi="楷体" w:eastAsia="楷体" w:cs="楷体"/>
          <w:b w:val="0"/>
          <w:bCs w:val="0"/>
          <w:sz w:val="32"/>
          <w:szCs w:val="32"/>
        </w:rPr>
        <w:t>（二）部门整体支出绩效目标</w:t>
      </w:r>
    </w:p>
    <w:p>
      <w:pPr>
        <w:pStyle w:val="4"/>
        <w:keepNext w:val="0"/>
        <w:keepLines w:val="0"/>
        <w:pageBreakBefore w:val="0"/>
        <w:shd w:val="clear" w:color="auto" w:fill="FFFFFF"/>
        <w:kinsoku/>
        <w:wordWrap/>
        <w:overflowPunct/>
        <w:topLinePunct w:val="0"/>
        <w:autoSpaceDN/>
        <w:bidi w:val="0"/>
        <w:adjustRightInd/>
        <w:snapToGrid/>
        <w:spacing w:before="0" w:beforeAutospacing="0" w:after="0" w:afterAutospacing="0" w:line="560" w:lineRule="exact"/>
        <w:ind w:firstLine="800" w:firstLineChars="250"/>
        <w:jc w:val="both"/>
        <w:textAlignment w:val="auto"/>
        <w:outlineLvl w:val="9"/>
        <w:rPr>
          <w:rFonts w:hint="eastAsia" w:ascii="仿宋" w:hAnsi="仿宋" w:eastAsia="仿宋"/>
          <w:sz w:val="32"/>
          <w:szCs w:val="32"/>
        </w:rPr>
      </w:pPr>
      <w:r>
        <w:rPr>
          <w:rFonts w:hint="eastAsia" w:ascii="仿宋" w:hAnsi="仿宋" w:eastAsia="仿宋"/>
          <w:sz w:val="32"/>
          <w:szCs w:val="32"/>
        </w:rPr>
        <w:t>在区委、区政府的正确领导下，在团市委的精心指导下，紧紧围绕全区重大发展战略，本着党政所急</w:t>
      </w:r>
      <w:r>
        <w:rPr>
          <w:rFonts w:hint="eastAsia" w:ascii="仿宋" w:hAnsi="仿宋" w:eastAsia="仿宋"/>
          <w:sz w:val="32"/>
          <w:szCs w:val="32"/>
          <w:lang w:eastAsia="zh-CN"/>
        </w:rPr>
        <w:t>、</w:t>
      </w:r>
      <w:r>
        <w:rPr>
          <w:rFonts w:hint="eastAsia" w:ascii="仿宋" w:hAnsi="仿宋" w:eastAsia="仿宋"/>
          <w:sz w:val="32"/>
          <w:szCs w:val="32"/>
        </w:rPr>
        <w:t>青年所需、团委所能的原则，抓住青年发展为主线，全面实施青年发展规划，动员广大青年朋友投身到我区经济社会发展中去。</w:t>
      </w:r>
    </w:p>
    <w:p>
      <w:pPr>
        <w:pStyle w:val="4"/>
        <w:keepNext w:val="0"/>
        <w:keepLines w:val="0"/>
        <w:pageBreakBefore w:val="0"/>
        <w:shd w:val="clear" w:color="auto" w:fill="FFFFFF"/>
        <w:kinsoku/>
        <w:wordWrap/>
        <w:overflowPunct/>
        <w:topLinePunct w:val="0"/>
        <w:autoSpaceDN/>
        <w:bidi w:val="0"/>
        <w:adjustRightInd/>
        <w:snapToGrid/>
        <w:spacing w:before="0" w:beforeAutospacing="0" w:after="0" w:afterAutospacing="0" w:line="560" w:lineRule="exact"/>
        <w:ind w:firstLine="640" w:firstLineChars="200"/>
        <w:jc w:val="both"/>
        <w:textAlignment w:val="auto"/>
        <w:outlineLvl w:val="9"/>
        <w:rPr>
          <w:rFonts w:hint="eastAsia" w:ascii="仿宋" w:hAnsi="仿宋" w:eastAsia="仿宋"/>
          <w:sz w:val="32"/>
          <w:szCs w:val="32"/>
        </w:rPr>
      </w:pPr>
      <w:r>
        <w:rPr>
          <w:rFonts w:hint="eastAsia" w:ascii="仿宋" w:hAnsi="仿宋" w:eastAsia="仿宋"/>
          <w:sz w:val="32"/>
          <w:szCs w:val="32"/>
        </w:rPr>
        <w:t>预决算公开：根据区财政局的统一部署及相关要求，</w:t>
      </w:r>
      <w:r>
        <w:rPr>
          <w:rFonts w:hint="eastAsia" w:ascii="仿宋" w:hAnsi="仿宋" w:eastAsia="仿宋"/>
          <w:sz w:val="32"/>
          <w:szCs w:val="32"/>
          <w:lang w:eastAsia="zh-CN"/>
        </w:rPr>
        <w:t>我委</w:t>
      </w:r>
      <w:r>
        <w:rPr>
          <w:rFonts w:hint="eastAsia" w:ascii="仿宋" w:hAnsi="仿宋" w:eastAsia="仿宋"/>
          <w:sz w:val="32"/>
          <w:szCs w:val="32"/>
        </w:rPr>
        <w:t>已在赫山信息网站上进行了</w:t>
      </w:r>
      <w:r>
        <w:rPr>
          <w:rFonts w:hint="eastAsia" w:ascii="仿宋" w:hAnsi="仿宋" w:eastAsia="仿宋" w:cs="仿宋"/>
          <w:sz w:val="32"/>
          <w:szCs w:val="32"/>
        </w:rPr>
        <w:t>201</w:t>
      </w:r>
      <w:r>
        <w:rPr>
          <w:rFonts w:hint="eastAsia" w:ascii="仿宋" w:hAnsi="仿宋" w:eastAsia="仿宋" w:cs="仿宋"/>
          <w:sz w:val="32"/>
          <w:szCs w:val="32"/>
          <w:lang w:val="en-US" w:eastAsia="zh-CN"/>
        </w:rPr>
        <w:t>8</w:t>
      </w:r>
      <w:r>
        <w:rPr>
          <w:rFonts w:hint="eastAsia" w:ascii="仿宋" w:hAnsi="仿宋" w:eastAsia="仿宋" w:cs="仿宋"/>
          <w:sz w:val="32"/>
          <w:szCs w:val="32"/>
        </w:rPr>
        <w:t>年度预算</w:t>
      </w:r>
      <w:r>
        <w:rPr>
          <w:rFonts w:hint="eastAsia" w:ascii="仿宋" w:hAnsi="仿宋" w:eastAsia="仿宋"/>
          <w:sz w:val="32"/>
          <w:szCs w:val="32"/>
        </w:rPr>
        <w:t>公开</w:t>
      </w:r>
      <w:r>
        <w:rPr>
          <w:rFonts w:hint="eastAsia" w:ascii="仿宋" w:hAnsi="仿宋" w:eastAsia="仿宋" w:cs="仿宋"/>
          <w:sz w:val="32"/>
          <w:szCs w:val="32"/>
        </w:rPr>
        <w:t>。</w:t>
      </w:r>
    </w:p>
    <w:p>
      <w:pPr>
        <w:pStyle w:val="4"/>
        <w:keepNext w:val="0"/>
        <w:keepLines w:val="0"/>
        <w:pageBreakBefore w:val="0"/>
        <w:shd w:val="clear" w:color="auto" w:fill="FFFFFF"/>
        <w:kinsoku/>
        <w:wordWrap/>
        <w:overflowPunct/>
        <w:topLinePunct w:val="0"/>
        <w:autoSpaceDN/>
        <w:bidi w:val="0"/>
        <w:adjustRightInd/>
        <w:snapToGrid/>
        <w:spacing w:before="0" w:beforeAutospacing="0" w:after="0" w:afterAutospacing="0" w:line="560" w:lineRule="exact"/>
        <w:ind w:firstLine="640" w:firstLineChars="200"/>
        <w:jc w:val="both"/>
        <w:textAlignment w:val="auto"/>
        <w:outlineLvl w:val="9"/>
        <w:rPr>
          <w:rFonts w:hint="eastAsia" w:ascii="仿宋" w:hAnsi="仿宋" w:eastAsia="仿宋"/>
          <w:sz w:val="32"/>
          <w:szCs w:val="32"/>
        </w:rPr>
      </w:pPr>
      <w:r>
        <w:rPr>
          <w:rFonts w:hint="eastAsia" w:ascii="仿宋" w:hAnsi="仿宋" w:eastAsia="仿宋"/>
          <w:sz w:val="32"/>
          <w:szCs w:val="32"/>
        </w:rPr>
        <w:t>存量资金管理：</w:t>
      </w:r>
      <w:r>
        <w:rPr>
          <w:rFonts w:hint="eastAsia" w:ascii="仿宋" w:hAnsi="仿宋" w:eastAsia="仿宋"/>
          <w:sz w:val="32"/>
          <w:szCs w:val="32"/>
          <w:lang w:eastAsia="zh-CN"/>
        </w:rPr>
        <w:t>我委</w:t>
      </w:r>
      <w:r>
        <w:rPr>
          <w:rFonts w:hint="eastAsia" w:ascii="仿宋" w:hAnsi="仿宋" w:eastAsia="仿宋"/>
          <w:sz w:val="32"/>
          <w:szCs w:val="32"/>
        </w:rPr>
        <w:t>已实行国库集中支付管理。</w:t>
      </w:r>
    </w:p>
    <w:p>
      <w:pPr>
        <w:pStyle w:val="4"/>
        <w:keepNext w:val="0"/>
        <w:keepLines w:val="0"/>
        <w:pageBreakBefore w:val="0"/>
        <w:shd w:val="clear" w:color="auto" w:fill="FFFFFF"/>
        <w:kinsoku/>
        <w:wordWrap/>
        <w:overflowPunct/>
        <w:topLinePunct w:val="0"/>
        <w:autoSpaceDN/>
        <w:bidi w:val="0"/>
        <w:adjustRightInd/>
        <w:snapToGrid/>
        <w:spacing w:before="0" w:beforeAutospacing="0" w:after="0" w:afterAutospacing="0" w:line="560" w:lineRule="exact"/>
        <w:ind w:firstLine="640" w:firstLineChars="200"/>
        <w:jc w:val="both"/>
        <w:textAlignment w:val="auto"/>
        <w:outlineLvl w:val="9"/>
        <w:rPr>
          <w:rFonts w:hint="eastAsia" w:ascii="仿宋" w:hAnsi="仿宋" w:eastAsia="仿宋"/>
          <w:sz w:val="32"/>
          <w:szCs w:val="32"/>
        </w:rPr>
      </w:pPr>
      <w:r>
        <w:rPr>
          <w:rFonts w:hint="eastAsia" w:ascii="仿宋" w:hAnsi="仿宋" w:eastAsia="仿宋"/>
          <w:sz w:val="32"/>
          <w:szCs w:val="32"/>
        </w:rPr>
        <w:t>资产管理：制定了《</w:t>
      </w:r>
      <w:r>
        <w:rPr>
          <w:rFonts w:hint="eastAsia" w:ascii="仿宋" w:hAnsi="仿宋" w:eastAsia="仿宋"/>
          <w:sz w:val="32"/>
          <w:szCs w:val="32"/>
          <w:lang w:val="en-US" w:eastAsia="zh-CN"/>
        </w:rPr>
        <w:t>共青团益阳市赫山区委员会</w:t>
      </w:r>
      <w:r>
        <w:rPr>
          <w:rFonts w:hint="eastAsia" w:ascii="仿宋" w:hAnsi="仿宋" w:eastAsia="仿宋"/>
          <w:sz w:val="32"/>
          <w:szCs w:val="32"/>
        </w:rPr>
        <w:t>办公室资产管理制度》，建立了固定资产台帐，指定专人管理，及时登记，科学使用，实现了“一物一卡一条码”。固定资产的调出、处置、报废、报损严格执行国家有关规定的审批程序办理。</w:t>
      </w:r>
    </w:p>
    <w:p>
      <w:pPr>
        <w:pStyle w:val="4"/>
        <w:keepNext w:val="0"/>
        <w:keepLines w:val="0"/>
        <w:pageBreakBefore w:val="0"/>
        <w:shd w:val="clear" w:color="auto" w:fill="FFFFFF"/>
        <w:kinsoku/>
        <w:wordWrap/>
        <w:overflowPunct/>
        <w:topLinePunct w:val="0"/>
        <w:autoSpaceDN/>
        <w:bidi w:val="0"/>
        <w:adjustRightInd/>
        <w:snapToGrid/>
        <w:spacing w:before="0" w:beforeAutospacing="0" w:after="0" w:afterAutospacing="0" w:line="560" w:lineRule="exact"/>
        <w:ind w:firstLine="640" w:firstLineChars="200"/>
        <w:jc w:val="both"/>
        <w:textAlignment w:val="auto"/>
        <w:outlineLvl w:val="9"/>
        <w:rPr>
          <w:rFonts w:hint="eastAsia" w:ascii="仿宋" w:hAnsi="仿宋" w:eastAsia="仿宋"/>
          <w:color w:val="auto"/>
          <w:sz w:val="32"/>
          <w:szCs w:val="32"/>
        </w:rPr>
      </w:pPr>
      <w:r>
        <w:rPr>
          <w:rFonts w:hint="eastAsia" w:ascii="仿宋" w:hAnsi="仿宋" w:eastAsia="仿宋"/>
          <w:color w:val="auto"/>
          <w:sz w:val="32"/>
          <w:szCs w:val="32"/>
        </w:rPr>
        <w:t>“三公”经费控制：201</w:t>
      </w:r>
      <w:r>
        <w:rPr>
          <w:rFonts w:hint="eastAsia" w:ascii="仿宋" w:hAnsi="仿宋" w:eastAsia="仿宋"/>
          <w:color w:val="auto"/>
          <w:sz w:val="32"/>
          <w:szCs w:val="32"/>
          <w:lang w:val="en-US" w:eastAsia="zh-CN"/>
        </w:rPr>
        <w:t>8</w:t>
      </w:r>
      <w:r>
        <w:rPr>
          <w:rFonts w:hint="eastAsia" w:ascii="仿宋" w:hAnsi="仿宋" w:eastAsia="仿宋"/>
          <w:color w:val="auto"/>
          <w:sz w:val="32"/>
          <w:szCs w:val="32"/>
        </w:rPr>
        <w:t>年，</w:t>
      </w:r>
      <w:r>
        <w:rPr>
          <w:rFonts w:hint="eastAsia" w:ascii="仿宋" w:hAnsi="仿宋" w:eastAsia="仿宋"/>
          <w:color w:val="auto"/>
          <w:sz w:val="32"/>
          <w:szCs w:val="32"/>
          <w:lang w:eastAsia="zh-CN"/>
        </w:rPr>
        <w:t>我委</w:t>
      </w:r>
      <w:r>
        <w:rPr>
          <w:rFonts w:hint="eastAsia" w:ascii="仿宋" w:hAnsi="仿宋" w:eastAsia="仿宋"/>
          <w:color w:val="auto"/>
          <w:sz w:val="32"/>
          <w:szCs w:val="32"/>
        </w:rPr>
        <w:t>“三公”经费支出</w:t>
      </w:r>
      <w:r>
        <w:rPr>
          <w:rFonts w:hint="eastAsia" w:ascii="仿宋" w:hAnsi="仿宋" w:eastAsia="仿宋"/>
          <w:color w:val="auto"/>
          <w:sz w:val="32"/>
          <w:szCs w:val="32"/>
          <w:lang w:val="en-US" w:eastAsia="zh-CN"/>
        </w:rPr>
        <w:t>1.3</w:t>
      </w:r>
      <w:r>
        <w:rPr>
          <w:rFonts w:hint="eastAsia" w:ascii="仿宋" w:hAnsi="仿宋" w:eastAsia="仿宋"/>
          <w:color w:val="auto"/>
          <w:sz w:val="32"/>
          <w:szCs w:val="32"/>
        </w:rPr>
        <w:t>万元，其中：无公务用车运行维护费，公务接待费</w:t>
      </w:r>
      <w:r>
        <w:rPr>
          <w:rFonts w:hint="eastAsia" w:ascii="仿宋" w:hAnsi="仿宋" w:eastAsia="仿宋"/>
          <w:color w:val="auto"/>
          <w:sz w:val="32"/>
          <w:szCs w:val="32"/>
          <w:lang w:val="en-US" w:eastAsia="zh-CN"/>
        </w:rPr>
        <w:t>1.3</w:t>
      </w:r>
      <w:r>
        <w:rPr>
          <w:rFonts w:hint="eastAsia" w:ascii="仿宋" w:hAnsi="仿宋" w:eastAsia="仿宋"/>
          <w:color w:val="auto"/>
          <w:sz w:val="32"/>
          <w:szCs w:val="32"/>
        </w:rPr>
        <w:t>万元，无出国出境费。</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内部控制制度建设：</w:t>
      </w:r>
      <w:r>
        <w:rPr>
          <w:rFonts w:hint="eastAsia" w:ascii="仿宋" w:hAnsi="仿宋" w:eastAsia="仿宋" w:cs="仿宋"/>
          <w:color w:val="000000"/>
          <w:sz w:val="32"/>
          <w:szCs w:val="32"/>
        </w:rPr>
        <w:t>我们严格预算管理，坚持执行财经和财务制度，修改完善了</w:t>
      </w:r>
      <w:r>
        <w:rPr>
          <w:rFonts w:hint="eastAsia" w:ascii="仿宋" w:hAnsi="仿宋" w:eastAsia="仿宋"/>
          <w:sz w:val="32"/>
          <w:szCs w:val="32"/>
        </w:rPr>
        <w:t>《</w:t>
      </w:r>
      <w:r>
        <w:rPr>
          <w:rFonts w:hint="eastAsia" w:ascii="仿宋" w:hAnsi="仿宋" w:eastAsia="仿宋"/>
          <w:sz w:val="32"/>
          <w:szCs w:val="32"/>
          <w:lang w:val="en-US" w:eastAsia="zh-CN"/>
        </w:rPr>
        <w:t>共青团益阳市赫山区委员会</w:t>
      </w:r>
      <w:r>
        <w:rPr>
          <w:rFonts w:hint="eastAsia" w:ascii="仿宋" w:hAnsi="仿宋" w:eastAsia="仿宋"/>
          <w:sz w:val="32"/>
          <w:szCs w:val="32"/>
        </w:rPr>
        <w:t>办公室机关管理制度》、《</w:t>
      </w:r>
      <w:r>
        <w:rPr>
          <w:rFonts w:hint="eastAsia" w:ascii="仿宋" w:hAnsi="仿宋" w:eastAsia="仿宋"/>
          <w:sz w:val="32"/>
          <w:szCs w:val="32"/>
          <w:lang w:val="en-US" w:eastAsia="zh-CN"/>
        </w:rPr>
        <w:t>共青团益阳市赫山区委员会</w:t>
      </w:r>
      <w:r>
        <w:rPr>
          <w:rFonts w:hint="eastAsia" w:ascii="仿宋" w:hAnsi="仿宋" w:eastAsia="仿宋"/>
          <w:sz w:val="32"/>
          <w:szCs w:val="32"/>
        </w:rPr>
        <w:t>财务管理制度》、《</w:t>
      </w:r>
      <w:r>
        <w:rPr>
          <w:rFonts w:hint="eastAsia" w:ascii="仿宋" w:hAnsi="仿宋" w:eastAsia="仿宋"/>
          <w:sz w:val="32"/>
          <w:szCs w:val="32"/>
          <w:lang w:val="en-US" w:eastAsia="zh-CN"/>
        </w:rPr>
        <w:t>共青团益阳市赫山区委员会</w:t>
      </w:r>
      <w:r>
        <w:rPr>
          <w:rFonts w:hint="eastAsia" w:ascii="仿宋" w:hAnsi="仿宋" w:eastAsia="仿宋"/>
          <w:sz w:val="32"/>
          <w:szCs w:val="32"/>
        </w:rPr>
        <w:t>办公室物资采购制度》、《</w:t>
      </w:r>
      <w:r>
        <w:rPr>
          <w:rFonts w:hint="eastAsia" w:ascii="仿宋" w:hAnsi="仿宋" w:eastAsia="仿宋"/>
          <w:sz w:val="32"/>
          <w:szCs w:val="32"/>
          <w:lang w:val="en-US" w:eastAsia="zh-CN"/>
        </w:rPr>
        <w:t>共青团益阳市赫山区委员会</w:t>
      </w:r>
      <w:r>
        <w:rPr>
          <w:rFonts w:hint="eastAsia" w:ascii="仿宋" w:hAnsi="仿宋" w:eastAsia="仿宋"/>
          <w:sz w:val="32"/>
          <w:szCs w:val="32"/>
        </w:rPr>
        <w:t>办公室资产管理制度》</w:t>
      </w:r>
      <w:r>
        <w:rPr>
          <w:rFonts w:hint="eastAsia" w:ascii="仿宋" w:hAnsi="仿宋" w:eastAsia="仿宋" w:cs="仿宋"/>
          <w:color w:val="000000"/>
          <w:sz w:val="32"/>
          <w:szCs w:val="32"/>
        </w:rPr>
        <w:t>等工作制度，进一步明确了预算资金审批手续和拨付程序、机关行政经费审批手续和报销程序，加强了财务管理，规范了收支行为，保证了财务管理工作规范有序进行。</w:t>
      </w:r>
    </w:p>
    <w:p>
      <w:pPr>
        <w:keepNext w:val="0"/>
        <w:keepLines w:val="0"/>
        <w:pageBreakBefore w:val="0"/>
        <w:widowControl/>
        <w:shd w:val="clear" w:color="auto" w:fill="FFFFFF"/>
        <w:kinsoku/>
        <w:wordWrap/>
        <w:overflowPunct/>
        <w:topLinePunct w:val="0"/>
        <w:autoSpaceDE w:val="0"/>
        <w:autoSpaceDN/>
        <w:bidi w:val="0"/>
        <w:adjustRightInd/>
        <w:snapToGrid/>
        <w:spacing w:line="560" w:lineRule="exact"/>
        <w:ind w:firstLine="640"/>
        <w:jc w:val="left"/>
        <w:textAlignment w:val="auto"/>
        <w:rPr>
          <w:rFonts w:hint="eastAsia" w:ascii="仿宋" w:hAnsi="仿宋" w:eastAsia="仿宋" w:cs="宋体"/>
          <w:color w:val="000000"/>
          <w:kern w:val="0"/>
          <w:sz w:val="32"/>
          <w:szCs w:val="32"/>
          <w:lang w:val="en-US" w:eastAsia="zh-CN"/>
        </w:rPr>
      </w:pPr>
      <w:r>
        <w:rPr>
          <w:rFonts w:hint="eastAsia" w:ascii="仿宋" w:hAnsi="仿宋" w:eastAsia="仿宋"/>
          <w:sz w:val="32"/>
          <w:szCs w:val="32"/>
        </w:rPr>
        <w:t>绩效目标完成情况：201</w:t>
      </w:r>
      <w:r>
        <w:rPr>
          <w:rFonts w:hint="eastAsia" w:ascii="仿宋" w:hAnsi="仿宋" w:eastAsia="仿宋"/>
          <w:sz w:val="32"/>
          <w:szCs w:val="32"/>
          <w:lang w:val="en-US" w:eastAsia="zh-CN"/>
        </w:rPr>
        <w:t>8</w:t>
      </w:r>
      <w:r>
        <w:rPr>
          <w:rFonts w:hint="eastAsia" w:ascii="仿宋" w:hAnsi="仿宋" w:eastAsia="仿宋"/>
          <w:sz w:val="32"/>
          <w:szCs w:val="32"/>
        </w:rPr>
        <w:t>年，</w:t>
      </w:r>
      <w:r>
        <w:rPr>
          <w:rFonts w:hint="eastAsia" w:ascii="仿宋" w:hAnsi="仿宋" w:eastAsia="仿宋"/>
          <w:sz w:val="32"/>
          <w:szCs w:val="32"/>
          <w:lang w:val="en-US" w:eastAsia="zh-CN"/>
        </w:rPr>
        <w:t>在区委、区政府的正确领导下，在团市委的精心指导下，</w:t>
      </w:r>
      <w:r>
        <w:rPr>
          <w:rFonts w:hint="eastAsia" w:ascii="仿宋" w:hAnsi="仿宋" w:eastAsia="仿宋" w:cs="宋体"/>
          <w:color w:val="000000"/>
          <w:kern w:val="0"/>
          <w:sz w:val="32"/>
          <w:szCs w:val="32"/>
          <w:lang w:eastAsia="zh-CN"/>
        </w:rPr>
        <w:t>克服人手短缺、经验不足等种种困难，积极做好团</w:t>
      </w:r>
      <w:r>
        <w:rPr>
          <w:rFonts w:hint="eastAsia" w:ascii="仿宋" w:hAnsi="仿宋" w:eastAsia="仿宋" w:cs="宋体"/>
          <w:color w:val="000000"/>
          <w:kern w:val="0"/>
          <w:sz w:val="32"/>
          <w:szCs w:val="32"/>
          <w:lang w:val="en-US" w:eastAsia="zh-CN"/>
        </w:rPr>
        <w:t>区</w:t>
      </w:r>
      <w:r>
        <w:rPr>
          <w:rFonts w:hint="eastAsia" w:ascii="仿宋" w:hAnsi="仿宋" w:eastAsia="仿宋" w:cs="宋体"/>
          <w:color w:val="000000"/>
          <w:kern w:val="0"/>
          <w:sz w:val="32"/>
          <w:szCs w:val="32"/>
          <w:lang w:eastAsia="zh-CN"/>
        </w:rPr>
        <w:t>委财务管理工作，保</w:t>
      </w:r>
      <w:r>
        <w:rPr>
          <w:rFonts w:hint="eastAsia" w:ascii="仿宋" w:hAnsi="仿宋" w:eastAsia="仿宋"/>
          <w:sz w:val="32"/>
          <w:szCs w:val="32"/>
          <w:lang w:val="en-US" w:eastAsia="zh-CN"/>
        </w:rPr>
        <w:t>证了财政资金的安全。</w:t>
      </w:r>
      <w:r>
        <w:rPr>
          <w:rFonts w:hint="eastAsia" w:ascii="仿宋" w:hAnsi="仿宋" w:eastAsia="仿宋" w:cs="宋体"/>
          <w:color w:val="000000"/>
          <w:kern w:val="0"/>
          <w:sz w:val="32"/>
          <w:szCs w:val="32"/>
          <w:lang w:val="en-US" w:eastAsia="zh-CN"/>
        </w:rPr>
        <w:t>团区委</w:t>
      </w:r>
      <w:r>
        <w:rPr>
          <w:rFonts w:hint="eastAsia" w:ascii="仿宋" w:hAnsi="仿宋" w:eastAsia="仿宋" w:cs="宋体"/>
          <w:color w:val="000000"/>
          <w:kern w:val="0"/>
          <w:sz w:val="32"/>
          <w:szCs w:val="32"/>
          <w:lang w:eastAsia="zh-CN"/>
        </w:rPr>
        <w:t>主动服务党政大局，努力创新社会管理，抓基层、强基础、转作风、惠青年，推动了</w:t>
      </w:r>
      <w:r>
        <w:rPr>
          <w:rFonts w:hint="eastAsia" w:ascii="仿宋" w:hAnsi="仿宋" w:eastAsia="仿宋" w:cs="宋体"/>
          <w:color w:val="000000"/>
          <w:kern w:val="0"/>
          <w:sz w:val="32"/>
          <w:szCs w:val="32"/>
          <w:lang w:val="en-US" w:eastAsia="zh-CN"/>
        </w:rPr>
        <w:t>赫山区</w:t>
      </w:r>
      <w:r>
        <w:rPr>
          <w:rFonts w:hint="eastAsia" w:ascii="仿宋" w:hAnsi="仿宋" w:eastAsia="仿宋" w:cs="宋体"/>
          <w:color w:val="000000"/>
          <w:kern w:val="0"/>
          <w:sz w:val="32"/>
          <w:szCs w:val="32"/>
          <w:lang w:eastAsia="zh-CN"/>
        </w:rPr>
        <w:t>共青团事业稳步转型，为</w:t>
      </w:r>
      <w:r>
        <w:rPr>
          <w:rFonts w:hint="eastAsia" w:ascii="仿宋" w:hAnsi="仿宋" w:eastAsia="仿宋" w:cs="宋体"/>
          <w:color w:val="000000"/>
          <w:kern w:val="0"/>
          <w:sz w:val="32"/>
          <w:szCs w:val="32"/>
          <w:lang w:val="en-US" w:eastAsia="zh-CN"/>
        </w:rPr>
        <w:t>建设美丽富饶幸福新赫山</w:t>
      </w:r>
      <w:r>
        <w:rPr>
          <w:rFonts w:hint="eastAsia" w:ascii="仿宋" w:hAnsi="仿宋" w:eastAsia="仿宋" w:cs="宋体"/>
          <w:color w:val="000000"/>
          <w:kern w:val="0"/>
          <w:sz w:val="32"/>
          <w:szCs w:val="32"/>
          <w:lang w:eastAsia="zh-CN"/>
        </w:rPr>
        <w:t>作出了积极贡献。</w:t>
      </w:r>
    </w:p>
    <w:p>
      <w:pPr>
        <w:pStyle w:val="4"/>
        <w:keepNext w:val="0"/>
        <w:keepLines w:val="0"/>
        <w:pageBreakBefore w:val="0"/>
        <w:shd w:val="clear" w:color="auto" w:fill="FFFFFF"/>
        <w:kinsoku/>
        <w:wordWrap/>
        <w:overflowPunct/>
        <w:topLinePunct w:val="0"/>
        <w:autoSpaceDN/>
        <w:bidi w:val="0"/>
        <w:adjustRightInd/>
        <w:snapToGrid/>
        <w:spacing w:before="0" w:beforeAutospacing="0" w:after="0" w:afterAutospacing="0" w:line="560" w:lineRule="exact"/>
        <w:ind w:firstLine="640" w:firstLineChars="200"/>
        <w:jc w:val="both"/>
        <w:textAlignment w:val="auto"/>
        <w:outlineLvl w:val="9"/>
        <w:rPr>
          <w:rFonts w:hint="eastAsia" w:ascii="楷体" w:hAnsi="楷体" w:eastAsia="楷体" w:cs="楷体"/>
          <w:b w:val="0"/>
          <w:bCs w:val="0"/>
          <w:sz w:val="32"/>
          <w:szCs w:val="32"/>
        </w:rPr>
      </w:pPr>
      <w:r>
        <w:rPr>
          <w:rFonts w:hint="eastAsia" w:ascii="楷体" w:hAnsi="楷体" w:eastAsia="楷体" w:cs="楷体"/>
          <w:b w:val="0"/>
          <w:bCs w:val="0"/>
          <w:sz w:val="32"/>
          <w:szCs w:val="32"/>
        </w:rPr>
        <w:t>（三）部门整体支出实施情况分析</w:t>
      </w:r>
    </w:p>
    <w:p>
      <w:pPr>
        <w:pStyle w:val="4"/>
        <w:keepNext w:val="0"/>
        <w:keepLines w:val="0"/>
        <w:pageBreakBefore w:val="0"/>
        <w:shd w:val="clear" w:color="auto" w:fill="FFFFFF"/>
        <w:kinsoku/>
        <w:wordWrap/>
        <w:overflowPunct/>
        <w:topLinePunct w:val="0"/>
        <w:autoSpaceDN/>
        <w:bidi w:val="0"/>
        <w:adjustRightInd/>
        <w:snapToGrid/>
        <w:spacing w:before="0" w:beforeAutospacing="0" w:after="0" w:afterAutospacing="0" w:line="560" w:lineRule="exact"/>
        <w:ind w:firstLine="640" w:firstLineChars="200"/>
        <w:jc w:val="both"/>
        <w:textAlignment w:val="auto"/>
        <w:outlineLvl w:val="9"/>
        <w:rPr>
          <w:rFonts w:hint="eastAsia" w:ascii="仿宋" w:hAnsi="仿宋" w:eastAsia="仿宋"/>
          <w:sz w:val="32"/>
          <w:szCs w:val="32"/>
        </w:rPr>
      </w:pPr>
      <w:r>
        <w:rPr>
          <w:rFonts w:hint="eastAsia" w:ascii="仿宋" w:hAnsi="仿宋" w:eastAsia="仿宋"/>
          <w:sz w:val="32"/>
          <w:szCs w:val="32"/>
          <w:lang w:eastAsia="zh-CN"/>
        </w:rPr>
        <w:t>我委</w:t>
      </w:r>
      <w:r>
        <w:rPr>
          <w:rFonts w:hint="eastAsia" w:ascii="仿宋" w:hAnsi="仿宋" w:eastAsia="仿宋"/>
          <w:sz w:val="32"/>
          <w:szCs w:val="32"/>
        </w:rPr>
        <w:t>在部门整体支出中，严格按照年初预算安排，严格遵守资金管理制度，强化监督，专款专用，确保各项资金及时到位，无截留、挪用等现象。健全和完善管理制度，加强基本支出管理。严格审批程序，严格执行国家规定的开支范围及开支标准，量入为出，坚持会审联签制度。严格报账程序，实行国库集中支付制度，严格完善相关资料手续、审核审批程序，保证了各项资金使用的合理合规，充分发挥了各项资金的效益性。</w:t>
      </w:r>
    </w:p>
    <w:p>
      <w:pPr>
        <w:keepNext w:val="0"/>
        <w:keepLines w:val="0"/>
        <w:pageBreakBefore w:val="0"/>
        <w:numPr>
          <w:ilvl w:val="0"/>
          <w:numId w:val="0"/>
        </w:numPr>
        <w:kinsoku/>
        <w:wordWrap/>
        <w:overflowPunct/>
        <w:topLinePunct w:val="0"/>
        <w:autoSpaceDN/>
        <w:bidi w:val="0"/>
        <w:adjustRightInd/>
        <w:snapToGrid/>
        <w:spacing w:line="560" w:lineRule="exact"/>
        <w:ind w:firstLine="640" w:firstLineChars="200"/>
        <w:textAlignment w:val="auto"/>
        <w:outlineLvl w:val="9"/>
        <w:rPr>
          <w:rFonts w:hint="eastAsia" w:ascii="黑体" w:hAnsi="黑体" w:eastAsia="黑体" w:cs="黑体"/>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二、绩效评价工作情况</w:t>
      </w:r>
    </w:p>
    <w:p>
      <w:pPr>
        <w:pStyle w:val="4"/>
        <w:keepNext w:val="0"/>
        <w:keepLines w:val="0"/>
        <w:pageBreakBefore w:val="0"/>
        <w:shd w:val="clear" w:color="auto" w:fill="FFFFFF"/>
        <w:kinsoku/>
        <w:wordWrap/>
        <w:overflowPunct/>
        <w:topLinePunct w:val="0"/>
        <w:autoSpaceDN/>
        <w:bidi w:val="0"/>
        <w:adjustRightInd/>
        <w:snapToGrid/>
        <w:spacing w:before="0" w:beforeAutospacing="0" w:after="0" w:afterAutospacing="0" w:line="560" w:lineRule="exact"/>
        <w:ind w:firstLine="640" w:firstLineChars="200"/>
        <w:jc w:val="both"/>
        <w:textAlignment w:val="auto"/>
        <w:outlineLvl w:val="9"/>
        <w:rPr>
          <w:rFonts w:hint="eastAsia" w:ascii="楷体" w:hAnsi="楷体" w:eastAsia="楷体" w:cs="楷体"/>
          <w:b w:val="0"/>
          <w:bCs w:val="0"/>
          <w:sz w:val="32"/>
          <w:szCs w:val="32"/>
        </w:rPr>
      </w:pPr>
      <w:r>
        <w:rPr>
          <w:rFonts w:hint="eastAsia" w:ascii="楷体" w:hAnsi="楷体" w:eastAsia="楷体" w:cs="楷体"/>
          <w:b w:val="0"/>
          <w:bCs w:val="0"/>
          <w:sz w:val="32"/>
          <w:szCs w:val="32"/>
        </w:rPr>
        <w:t>（一）绩效评价目的</w:t>
      </w:r>
    </w:p>
    <w:p>
      <w:pPr>
        <w:pStyle w:val="4"/>
        <w:keepNext w:val="0"/>
        <w:keepLines w:val="0"/>
        <w:pageBreakBefore w:val="0"/>
        <w:shd w:val="clear" w:color="auto" w:fill="FFFFFF"/>
        <w:kinsoku/>
        <w:wordWrap/>
        <w:overflowPunct/>
        <w:topLinePunct w:val="0"/>
        <w:autoSpaceDN/>
        <w:bidi w:val="0"/>
        <w:adjustRightInd/>
        <w:snapToGrid/>
        <w:spacing w:before="0" w:beforeAutospacing="0" w:after="0" w:afterAutospacing="0" w:line="560" w:lineRule="exact"/>
        <w:ind w:firstLine="640" w:firstLineChars="200"/>
        <w:jc w:val="both"/>
        <w:textAlignment w:val="auto"/>
        <w:outlineLvl w:val="9"/>
        <w:rPr>
          <w:rFonts w:hint="eastAsia" w:ascii="仿宋" w:hAnsi="仿宋" w:eastAsia="仿宋"/>
          <w:sz w:val="32"/>
          <w:szCs w:val="32"/>
        </w:rPr>
      </w:pPr>
      <w:r>
        <w:rPr>
          <w:rFonts w:ascii="仿宋_GB2312" w:hAnsi="宋体" w:eastAsia="仿宋_GB2312" w:cs="仿宋_GB2312"/>
          <w:i w:val="0"/>
          <w:caps w:val="0"/>
          <w:color w:val="222222"/>
          <w:spacing w:val="0"/>
          <w:sz w:val="32"/>
          <w:szCs w:val="32"/>
          <w:shd w:val="clear" w:fill="FFFFFF"/>
        </w:rPr>
        <w:t>本次绩效评价的目的是为了全面分析和综合评价我</w:t>
      </w:r>
      <w:r>
        <w:rPr>
          <w:rFonts w:hint="default" w:ascii="仿宋_GB2312" w:hAnsi="宋体" w:eastAsia="仿宋_GB2312" w:cs="仿宋_GB2312"/>
          <w:i w:val="0"/>
          <w:caps w:val="0"/>
          <w:color w:val="222222"/>
          <w:spacing w:val="0"/>
          <w:sz w:val="32"/>
          <w:szCs w:val="32"/>
          <w:shd w:val="clear" w:fill="FFFFFF"/>
        </w:rPr>
        <w:t>委本级财政预算资金的使用管理情况，为切实提高财政资金使用效益，强化预算支出的责任和效率提供参考依据。</w:t>
      </w:r>
    </w:p>
    <w:p>
      <w:pPr>
        <w:pStyle w:val="4"/>
        <w:keepNext w:val="0"/>
        <w:keepLines w:val="0"/>
        <w:pageBreakBefore w:val="0"/>
        <w:shd w:val="clear" w:color="auto" w:fill="FFFFFF"/>
        <w:kinsoku/>
        <w:wordWrap/>
        <w:overflowPunct/>
        <w:topLinePunct w:val="0"/>
        <w:autoSpaceDN/>
        <w:bidi w:val="0"/>
        <w:adjustRightInd/>
        <w:snapToGrid/>
        <w:spacing w:before="0" w:beforeAutospacing="0" w:after="0" w:afterAutospacing="0" w:line="560" w:lineRule="exact"/>
        <w:ind w:firstLine="640" w:firstLineChars="200"/>
        <w:jc w:val="both"/>
        <w:textAlignment w:val="auto"/>
        <w:outlineLvl w:val="9"/>
        <w:rPr>
          <w:rFonts w:hint="eastAsia" w:ascii="楷体" w:hAnsi="楷体" w:eastAsia="楷体" w:cs="楷体"/>
          <w:b w:val="0"/>
          <w:bCs w:val="0"/>
          <w:sz w:val="32"/>
          <w:szCs w:val="32"/>
        </w:rPr>
      </w:pPr>
      <w:r>
        <w:rPr>
          <w:rFonts w:hint="eastAsia" w:ascii="楷体" w:hAnsi="楷体" w:eastAsia="楷体" w:cs="楷体"/>
          <w:b w:val="0"/>
          <w:bCs w:val="0"/>
          <w:sz w:val="32"/>
          <w:szCs w:val="32"/>
        </w:rPr>
        <w:t>（二）绩效评价工作过程</w:t>
      </w:r>
    </w:p>
    <w:p>
      <w:pPr>
        <w:pStyle w:val="4"/>
        <w:keepNext w:val="0"/>
        <w:keepLines w:val="0"/>
        <w:pageBreakBefore w:val="0"/>
        <w:shd w:val="clear" w:color="auto" w:fill="FFFFFF"/>
        <w:kinsoku/>
        <w:wordWrap/>
        <w:overflowPunct/>
        <w:topLinePunct w:val="0"/>
        <w:autoSpaceDN/>
        <w:bidi w:val="0"/>
        <w:adjustRightInd/>
        <w:snapToGrid/>
        <w:spacing w:before="0" w:beforeAutospacing="0" w:after="0" w:afterAutospacing="0" w:line="560" w:lineRule="exact"/>
        <w:ind w:firstLine="640" w:firstLineChars="200"/>
        <w:jc w:val="both"/>
        <w:textAlignment w:val="auto"/>
        <w:outlineLvl w:val="9"/>
        <w:rPr>
          <w:rFonts w:hint="eastAsia" w:ascii="仿宋_GB2312" w:eastAsia="仿宋_GB2312" w:cs="仿宋_GB2312"/>
          <w:i w:val="0"/>
          <w:caps w:val="0"/>
          <w:color w:val="222222"/>
          <w:spacing w:val="0"/>
          <w:sz w:val="32"/>
          <w:szCs w:val="32"/>
          <w:shd w:val="clear" w:fill="FFFFFF"/>
          <w:lang w:val="en-US" w:eastAsia="zh-CN"/>
        </w:rPr>
      </w:pPr>
      <w:r>
        <w:rPr>
          <w:rFonts w:hint="eastAsia" w:ascii="仿宋_GB2312" w:eastAsia="仿宋_GB2312" w:cs="仿宋_GB2312"/>
          <w:i w:val="0"/>
          <w:caps w:val="0"/>
          <w:color w:val="222222"/>
          <w:spacing w:val="0"/>
          <w:sz w:val="32"/>
          <w:szCs w:val="32"/>
          <w:shd w:val="clear" w:fill="FFFFFF"/>
          <w:lang w:val="en-US" w:eastAsia="zh-CN"/>
        </w:rPr>
        <w:t>我们</w:t>
      </w:r>
      <w:r>
        <w:rPr>
          <w:rFonts w:ascii="仿宋_GB2312" w:hAnsi="宋体" w:eastAsia="仿宋_GB2312" w:cs="仿宋_GB2312"/>
          <w:i w:val="0"/>
          <w:caps w:val="0"/>
          <w:color w:val="222222"/>
          <w:spacing w:val="0"/>
          <w:sz w:val="32"/>
          <w:szCs w:val="32"/>
          <w:shd w:val="clear" w:fill="FFFFFF"/>
        </w:rPr>
        <w:t>按照</w:t>
      </w:r>
      <w:r>
        <w:rPr>
          <w:rFonts w:hint="eastAsia" w:ascii="仿宋_GB2312" w:eastAsia="仿宋_GB2312" w:cs="仿宋_GB2312"/>
          <w:i w:val="0"/>
          <w:caps w:val="0"/>
          <w:color w:val="222222"/>
          <w:spacing w:val="0"/>
          <w:sz w:val="32"/>
          <w:szCs w:val="32"/>
          <w:shd w:val="clear" w:fill="FFFFFF"/>
          <w:lang w:val="en-US" w:eastAsia="zh-CN"/>
        </w:rPr>
        <w:t>区</w:t>
      </w:r>
      <w:r>
        <w:rPr>
          <w:rFonts w:hint="default" w:ascii="仿宋_GB2312" w:hAnsi="宋体" w:eastAsia="仿宋_GB2312" w:cs="仿宋_GB2312"/>
          <w:i w:val="0"/>
          <w:caps w:val="0"/>
          <w:color w:val="222222"/>
          <w:spacing w:val="0"/>
          <w:sz w:val="32"/>
          <w:szCs w:val="32"/>
          <w:shd w:val="clear" w:fill="FFFFFF"/>
        </w:rPr>
        <w:t>财政局绩效评价规程要求，第一阶段为前期准备：由副书记牵头，组织有关人员制定了详细的工作方案，明确责任，确定评价指标细则；第二阶段为自评：根据上一阶段任务布置，按照要求展开自评工作，并将评价结果</w:t>
      </w:r>
      <w:r>
        <w:rPr>
          <w:rFonts w:hint="eastAsia" w:ascii="仿宋_GB2312" w:eastAsia="仿宋_GB2312" w:cs="仿宋_GB2312"/>
          <w:i w:val="0"/>
          <w:caps w:val="0"/>
          <w:color w:val="222222"/>
          <w:spacing w:val="0"/>
          <w:sz w:val="32"/>
          <w:szCs w:val="32"/>
          <w:shd w:val="clear" w:fill="FFFFFF"/>
          <w:lang w:val="en-US" w:eastAsia="zh-CN"/>
        </w:rPr>
        <w:t>进行整理</w:t>
      </w:r>
      <w:r>
        <w:rPr>
          <w:rFonts w:hint="default" w:ascii="仿宋_GB2312" w:hAnsi="宋体" w:eastAsia="仿宋_GB2312" w:cs="仿宋_GB2312"/>
          <w:i w:val="0"/>
          <w:caps w:val="0"/>
          <w:color w:val="222222"/>
          <w:spacing w:val="0"/>
          <w:sz w:val="32"/>
          <w:szCs w:val="32"/>
          <w:shd w:val="clear" w:fill="FFFFFF"/>
        </w:rPr>
        <w:t>；第三阶段为定性终评，并出具评价报告：在自评的基础上，查阅相关文件资料和财务凭证，对收集资料进行定量定性分析，综合评议后形成评价结论，出具绩效评价报告。</w:t>
      </w:r>
      <w:r>
        <w:rPr>
          <w:rFonts w:hint="eastAsia" w:ascii="仿宋_GB2312" w:eastAsia="仿宋_GB2312" w:cs="仿宋_GB2312"/>
          <w:i w:val="0"/>
          <w:caps w:val="0"/>
          <w:color w:val="222222"/>
          <w:spacing w:val="0"/>
          <w:sz w:val="32"/>
          <w:szCs w:val="32"/>
          <w:shd w:val="clear" w:fill="FFFFFF"/>
          <w:lang w:val="en-US" w:eastAsia="zh-CN"/>
        </w:rPr>
        <w:t xml:space="preserve"> </w:t>
      </w:r>
    </w:p>
    <w:p>
      <w:pPr>
        <w:keepNext w:val="0"/>
        <w:keepLines w:val="0"/>
        <w:pageBreakBefore w:val="0"/>
        <w:numPr>
          <w:ilvl w:val="0"/>
          <w:numId w:val="0"/>
        </w:numPr>
        <w:kinsoku/>
        <w:wordWrap/>
        <w:overflowPunct/>
        <w:topLinePunct w:val="0"/>
        <w:autoSpaceDN/>
        <w:bidi w:val="0"/>
        <w:adjustRightInd/>
        <w:snapToGrid/>
        <w:spacing w:line="560" w:lineRule="exact"/>
        <w:ind w:firstLine="640" w:firstLineChars="200"/>
        <w:textAlignment w:val="auto"/>
        <w:outlineLvl w:val="9"/>
        <w:rPr>
          <w:rFonts w:hint="eastAsia" w:ascii="黑体" w:hAnsi="黑体" w:eastAsia="黑体" w:cs="黑体"/>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三、主要绩效及评价结论</w:t>
      </w:r>
    </w:p>
    <w:p>
      <w:pPr>
        <w:pStyle w:val="4"/>
        <w:keepNext w:val="0"/>
        <w:keepLines w:val="0"/>
        <w:pageBreakBefore w:val="0"/>
        <w:shd w:val="clear" w:color="auto" w:fill="FFFFFF"/>
        <w:kinsoku/>
        <w:wordWrap/>
        <w:overflowPunct/>
        <w:topLinePunct w:val="0"/>
        <w:autoSpaceDN/>
        <w:bidi w:val="0"/>
        <w:adjustRightInd/>
        <w:snapToGrid/>
        <w:spacing w:before="0" w:beforeAutospacing="0" w:after="0" w:afterAutospacing="0" w:line="560" w:lineRule="exact"/>
        <w:ind w:firstLine="640" w:firstLineChars="200"/>
        <w:jc w:val="both"/>
        <w:textAlignment w:val="auto"/>
        <w:outlineLvl w:val="9"/>
        <w:rPr>
          <w:rFonts w:hint="eastAsia" w:ascii="楷体" w:hAnsi="楷体" w:eastAsia="楷体" w:cs="楷体"/>
          <w:b w:val="0"/>
          <w:bCs w:val="0"/>
          <w:sz w:val="32"/>
          <w:szCs w:val="32"/>
        </w:rPr>
      </w:pPr>
      <w:r>
        <w:rPr>
          <w:rFonts w:hint="eastAsia" w:ascii="楷体" w:hAnsi="楷体" w:eastAsia="楷体" w:cs="楷体"/>
          <w:b w:val="0"/>
          <w:bCs w:val="0"/>
          <w:sz w:val="32"/>
          <w:szCs w:val="32"/>
        </w:rPr>
        <w:t>（一）经济性分析</w:t>
      </w:r>
    </w:p>
    <w:p>
      <w:pPr>
        <w:pStyle w:val="4"/>
        <w:keepNext w:val="0"/>
        <w:keepLines w:val="0"/>
        <w:pageBreakBefore w:val="0"/>
        <w:shd w:val="clear" w:color="auto" w:fill="FFFFFF"/>
        <w:kinsoku/>
        <w:wordWrap/>
        <w:overflowPunct/>
        <w:topLinePunct w:val="0"/>
        <w:autoSpaceDN/>
        <w:bidi w:val="0"/>
        <w:adjustRightInd/>
        <w:snapToGrid/>
        <w:spacing w:before="0" w:beforeAutospacing="0" w:after="0" w:afterAutospacing="0" w:line="560" w:lineRule="exact"/>
        <w:ind w:firstLine="800" w:firstLineChars="250"/>
        <w:jc w:val="both"/>
        <w:textAlignment w:val="auto"/>
        <w:outlineLvl w:val="9"/>
        <w:rPr>
          <w:rFonts w:hint="eastAsia"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eastAsia="zh-CN"/>
        </w:rPr>
        <w:t>、</w:t>
      </w:r>
      <w:r>
        <w:rPr>
          <w:rFonts w:hint="eastAsia" w:ascii="仿宋" w:hAnsi="仿宋" w:eastAsia="仿宋"/>
          <w:sz w:val="32"/>
          <w:szCs w:val="32"/>
        </w:rPr>
        <w:t>本年预算配置控制较好。财政供养人员控制在预算编制以内，编制内在职人员控制率为</w:t>
      </w:r>
      <w:r>
        <w:rPr>
          <w:rFonts w:hint="eastAsia" w:ascii="仿宋" w:hAnsi="仿宋" w:eastAsia="仿宋"/>
          <w:sz w:val="32"/>
          <w:szCs w:val="32"/>
          <w:lang w:val="en-US" w:eastAsia="zh-CN"/>
        </w:rPr>
        <w:t>100</w:t>
      </w:r>
      <w:r>
        <w:rPr>
          <w:rFonts w:hint="eastAsia" w:ascii="仿宋" w:hAnsi="仿宋" w:eastAsia="仿宋"/>
          <w:sz w:val="32"/>
          <w:szCs w:val="32"/>
        </w:rPr>
        <w:t>%；“三公”经费低于年初预算。</w:t>
      </w:r>
    </w:p>
    <w:p>
      <w:pPr>
        <w:pStyle w:val="4"/>
        <w:keepNext w:val="0"/>
        <w:keepLines w:val="0"/>
        <w:pageBreakBefore w:val="0"/>
        <w:shd w:val="clear" w:color="auto" w:fill="FFFFFF"/>
        <w:kinsoku/>
        <w:wordWrap/>
        <w:overflowPunct/>
        <w:topLinePunct w:val="0"/>
        <w:autoSpaceDN/>
        <w:bidi w:val="0"/>
        <w:adjustRightInd/>
        <w:snapToGrid/>
        <w:spacing w:before="0" w:beforeAutospacing="0" w:after="0" w:afterAutospacing="0" w:line="560" w:lineRule="exact"/>
        <w:ind w:firstLine="800" w:firstLineChars="250"/>
        <w:jc w:val="both"/>
        <w:textAlignment w:val="auto"/>
        <w:outlineLvl w:val="9"/>
        <w:rPr>
          <w:rFonts w:hint="eastAsia" w:ascii="仿宋" w:hAnsi="仿宋" w:eastAsia="仿宋"/>
          <w:sz w:val="32"/>
          <w:szCs w:val="32"/>
        </w:rPr>
      </w:pPr>
      <w:r>
        <w:rPr>
          <w:rFonts w:hint="eastAsia" w:ascii="仿宋" w:hAnsi="仿宋" w:eastAsia="仿宋"/>
          <w:sz w:val="32"/>
          <w:szCs w:val="32"/>
        </w:rPr>
        <w:t>2</w:t>
      </w:r>
      <w:r>
        <w:rPr>
          <w:rFonts w:hint="eastAsia" w:ascii="仿宋" w:hAnsi="仿宋" w:eastAsia="仿宋"/>
          <w:sz w:val="32"/>
          <w:szCs w:val="32"/>
          <w:lang w:eastAsia="zh-CN"/>
        </w:rPr>
        <w:t>、</w:t>
      </w:r>
      <w:r>
        <w:rPr>
          <w:rFonts w:hint="eastAsia" w:ascii="仿宋" w:hAnsi="仿宋" w:eastAsia="仿宋"/>
          <w:sz w:val="32"/>
          <w:szCs w:val="32"/>
        </w:rPr>
        <w:t xml:space="preserve"> 预算执行方面。支出总额控制在预算总额以内，所有支出严格依照相关财务管理规定执行，特别重视量财办事、量力而行，严格控制标准、注重节约，少花钱办好事，各项支出都在合理范围内。</w:t>
      </w:r>
    </w:p>
    <w:p>
      <w:pPr>
        <w:pStyle w:val="4"/>
        <w:keepNext w:val="0"/>
        <w:keepLines w:val="0"/>
        <w:pageBreakBefore w:val="0"/>
        <w:shd w:val="clear" w:color="auto" w:fill="FFFFFF"/>
        <w:kinsoku/>
        <w:wordWrap/>
        <w:overflowPunct/>
        <w:topLinePunct w:val="0"/>
        <w:autoSpaceDN/>
        <w:bidi w:val="0"/>
        <w:adjustRightInd/>
        <w:snapToGrid/>
        <w:spacing w:before="0" w:beforeAutospacing="0" w:after="0" w:afterAutospacing="0" w:line="560" w:lineRule="exact"/>
        <w:ind w:firstLine="800" w:firstLineChars="250"/>
        <w:jc w:val="both"/>
        <w:textAlignment w:val="auto"/>
        <w:outlineLvl w:val="9"/>
        <w:rPr>
          <w:rFonts w:hint="eastAsia" w:ascii="仿宋" w:hAnsi="仿宋" w:eastAsia="仿宋"/>
          <w:sz w:val="32"/>
          <w:szCs w:val="32"/>
        </w:rPr>
      </w:pPr>
      <w:r>
        <w:rPr>
          <w:rFonts w:hint="eastAsia" w:ascii="仿宋" w:hAnsi="仿宋" w:eastAsia="仿宋"/>
          <w:sz w:val="32"/>
          <w:szCs w:val="32"/>
        </w:rPr>
        <w:t>3、预算管理方面。</w:t>
      </w:r>
      <w:r>
        <w:rPr>
          <w:rFonts w:hint="eastAsia" w:ascii="仿宋" w:hAnsi="仿宋" w:eastAsia="仿宋"/>
          <w:sz w:val="32"/>
          <w:szCs w:val="32"/>
          <w:lang w:eastAsia="zh-CN"/>
        </w:rPr>
        <w:t>我委</w:t>
      </w:r>
      <w:r>
        <w:rPr>
          <w:rFonts w:hint="eastAsia" w:ascii="仿宋" w:hAnsi="仿宋" w:eastAsia="仿宋"/>
          <w:sz w:val="32"/>
          <w:szCs w:val="32"/>
        </w:rPr>
        <w:t>制定了切实有效的内部管理制度和经费支出控制方案，有较强的内控风险管理意识、各项经费支出得到了有效控制。</w:t>
      </w:r>
    </w:p>
    <w:p>
      <w:pPr>
        <w:pStyle w:val="4"/>
        <w:keepNext w:val="0"/>
        <w:keepLines w:val="0"/>
        <w:pageBreakBefore w:val="0"/>
        <w:shd w:val="clear" w:color="auto" w:fill="FFFFFF"/>
        <w:kinsoku/>
        <w:wordWrap/>
        <w:overflowPunct/>
        <w:topLinePunct w:val="0"/>
        <w:autoSpaceDN/>
        <w:bidi w:val="0"/>
        <w:adjustRightInd/>
        <w:snapToGrid/>
        <w:spacing w:before="0" w:beforeAutospacing="0" w:after="0" w:afterAutospacing="0" w:line="560" w:lineRule="exact"/>
        <w:ind w:firstLine="640" w:firstLineChars="200"/>
        <w:jc w:val="both"/>
        <w:textAlignment w:val="auto"/>
        <w:outlineLvl w:val="9"/>
        <w:rPr>
          <w:rFonts w:hint="eastAsia" w:ascii="楷体" w:hAnsi="楷体" w:eastAsia="楷体" w:cs="楷体"/>
          <w:b w:val="0"/>
          <w:bCs w:val="0"/>
          <w:sz w:val="32"/>
          <w:szCs w:val="32"/>
        </w:rPr>
      </w:pPr>
      <w:r>
        <w:rPr>
          <w:rFonts w:hint="eastAsia" w:ascii="楷体" w:hAnsi="楷体" w:eastAsia="楷体" w:cs="楷体"/>
          <w:b w:val="0"/>
          <w:bCs w:val="0"/>
          <w:sz w:val="32"/>
          <w:szCs w:val="32"/>
        </w:rPr>
        <w:t>（二）效率性分析</w:t>
      </w:r>
    </w:p>
    <w:p>
      <w:pPr>
        <w:keepNext w:val="0"/>
        <w:keepLines w:val="0"/>
        <w:pageBreakBefore w:val="0"/>
        <w:widowControl/>
        <w:shd w:val="clear" w:color="auto" w:fill="FFFFFF"/>
        <w:kinsoku/>
        <w:wordWrap/>
        <w:overflowPunct/>
        <w:topLinePunct w:val="0"/>
        <w:autoSpaceDE w:val="0"/>
        <w:autoSpaceDN/>
        <w:bidi w:val="0"/>
        <w:adjustRightInd/>
        <w:snapToGrid/>
        <w:spacing w:line="560" w:lineRule="exact"/>
        <w:ind w:firstLine="640"/>
        <w:jc w:val="left"/>
        <w:textAlignment w:val="auto"/>
        <w:outlineLvl w:val="9"/>
        <w:rPr>
          <w:rFonts w:ascii="仿宋" w:hAnsi="仿宋" w:eastAsia="仿宋" w:cs="宋体"/>
          <w:color w:val="000000"/>
          <w:kern w:val="0"/>
          <w:sz w:val="32"/>
          <w:szCs w:val="32"/>
          <w:lang w:eastAsia="zh-CN"/>
        </w:rPr>
      </w:pPr>
      <w:r>
        <w:rPr>
          <w:rFonts w:hint="eastAsia" w:ascii="仿宋" w:hAnsi="仿宋" w:eastAsia="仿宋" w:cs="宋体"/>
          <w:color w:val="000000"/>
          <w:kern w:val="0"/>
          <w:sz w:val="32"/>
          <w:szCs w:val="32"/>
          <w:lang w:eastAsia="zh-CN"/>
        </w:rPr>
        <w:t>预算安排的基本支出保障了正常的工作运转，预算安排的项目支出是非常必要的，在执行上是严格遵守各项财经纪律的，在项目资金的使用上也是放心的，严守法律底线、纪律底线、道德底线。</w:t>
      </w:r>
    </w:p>
    <w:p>
      <w:pPr>
        <w:pStyle w:val="4"/>
        <w:keepNext w:val="0"/>
        <w:keepLines w:val="0"/>
        <w:pageBreakBefore w:val="0"/>
        <w:shd w:val="clear" w:color="auto" w:fill="FFFFFF"/>
        <w:kinsoku/>
        <w:wordWrap/>
        <w:overflowPunct/>
        <w:topLinePunct w:val="0"/>
        <w:autoSpaceDN/>
        <w:bidi w:val="0"/>
        <w:adjustRightInd/>
        <w:snapToGrid/>
        <w:spacing w:before="0" w:beforeAutospacing="0" w:after="0" w:afterAutospacing="0" w:line="560" w:lineRule="exact"/>
        <w:ind w:firstLine="640" w:firstLineChars="200"/>
        <w:jc w:val="both"/>
        <w:textAlignment w:val="auto"/>
        <w:outlineLvl w:val="9"/>
        <w:rPr>
          <w:rFonts w:hint="eastAsia" w:ascii="楷体" w:hAnsi="楷体" w:eastAsia="楷体" w:cs="楷体"/>
          <w:b w:val="0"/>
          <w:bCs w:val="0"/>
          <w:sz w:val="32"/>
          <w:szCs w:val="32"/>
        </w:rPr>
      </w:pPr>
      <w:r>
        <w:rPr>
          <w:rFonts w:hint="eastAsia" w:ascii="楷体" w:hAnsi="楷体" w:eastAsia="楷体" w:cs="楷体"/>
          <w:b w:val="0"/>
          <w:bCs w:val="0"/>
          <w:sz w:val="32"/>
          <w:szCs w:val="32"/>
        </w:rPr>
        <w:t>（三）效益性分析</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1.</w:t>
      </w:r>
      <w:r>
        <w:rPr>
          <w:rFonts w:hint="eastAsia" w:ascii="楷体" w:hAnsi="楷体" w:eastAsia="楷体" w:cs="楷体"/>
          <w:color w:val="000000" w:themeColor="text1"/>
          <w:sz w:val="32"/>
          <w:szCs w:val="32"/>
          <w14:textFill>
            <w14:solidFill>
              <w14:schemeClr w14:val="tx1"/>
            </w14:solidFill>
          </w14:textFill>
        </w:rPr>
        <w:t>深入推进共青团改革。</w:t>
      </w:r>
      <w:r>
        <w:rPr>
          <w:rFonts w:hint="eastAsia" w:ascii="仿宋" w:hAnsi="仿宋" w:eastAsia="仿宋" w:cs="仿宋"/>
          <w:color w:val="000000" w:themeColor="text1"/>
          <w:sz w:val="32"/>
          <w:szCs w:val="32"/>
          <w14:textFill>
            <w14:solidFill>
              <w14:schemeClr w14:val="tx1"/>
            </w14:solidFill>
          </w14:textFill>
        </w:rPr>
        <w:t>将</w:t>
      </w:r>
      <w:r>
        <w:rPr>
          <w:rFonts w:hint="eastAsia" w:ascii="仿宋" w:hAnsi="仿宋" w:eastAsia="仿宋" w:cs="仿宋"/>
          <w:color w:val="000000" w:themeColor="text1"/>
          <w:sz w:val="32"/>
          <w:szCs w:val="32"/>
          <w:lang w:val="en-US" w:eastAsia="zh-CN"/>
          <w14:textFill>
            <w14:solidFill>
              <w14:schemeClr w14:val="tx1"/>
            </w14:solidFill>
          </w14:textFill>
        </w:rPr>
        <w:t>推进和</w:t>
      </w:r>
      <w:r>
        <w:rPr>
          <w:rFonts w:hint="eastAsia" w:ascii="仿宋" w:hAnsi="仿宋" w:eastAsia="仿宋" w:cs="仿宋"/>
          <w:color w:val="000000" w:themeColor="text1"/>
          <w:sz w:val="32"/>
          <w:szCs w:val="32"/>
          <w14:textFill>
            <w14:solidFill>
              <w14:schemeClr w14:val="tx1"/>
            </w14:solidFill>
          </w14:textFill>
        </w:rPr>
        <w:t>深化共青团改革作为全年工作的重中之重，研究</w:t>
      </w:r>
      <w:r>
        <w:rPr>
          <w:rFonts w:hint="eastAsia" w:ascii="仿宋" w:hAnsi="仿宋" w:eastAsia="仿宋" w:cs="仿宋"/>
          <w:color w:val="000000" w:themeColor="text1"/>
          <w:sz w:val="32"/>
          <w:szCs w:val="32"/>
          <w:lang w:val="en-US" w:eastAsia="zh-CN"/>
          <w14:textFill>
            <w14:solidFill>
              <w14:schemeClr w14:val="tx1"/>
            </w14:solidFill>
          </w14:textFill>
        </w:rPr>
        <w:t>起草</w:t>
      </w:r>
      <w:r>
        <w:rPr>
          <w:rFonts w:hint="eastAsia" w:ascii="仿宋" w:hAnsi="仿宋" w:eastAsia="仿宋" w:cs="仿宋"/>
          <w:color w:val="000000" w:themeColor="text1"/>
          <w:sz w:val="32"/>
          <w:szCs w:val="32"/>
          <w14:textFill>
            <w14:solidFill>
              <w14:schemeClr w14:val="tx1"/>
            </w14:solidFill>
          </w14:textFill>
        </w:rPr>
        <w:t>并提请区委常委会审议通过了《共青团益阳市赫山区委改革实施方案》；调整优化机关机构设置；打造专兼挂相结合的团区委领导班子，增配挂职书记1名、兼职副书记2名；充实各乡镇街道、龙岭工业集中区、衡龙新区、村（社区）团组织力量，推行“1+1+X”模式，健全基层团委组织架构；落实团机关干部“4+1”工作机制，每周确保1天以上在基层一线开展工作。</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2.</w:t>
      </w:r>
      <w:r>
        <w:rPr>
          <w:rFonts w:hint="eastAsia" w:ascii="楷体" w:hAnsi="楷体" w:eastAsia="楷体" w:cs="楷体"/>
          <w:color w:val="000000" w:themeColor="text1"/>
          <w:sz w:val="32"/>
          <w:szCs w:val="32"/>
          <w14:textFill>
            <w14:solidFill>
              <w14:schemeClr w14:val="tx1"/>
            </w14:solidFill>
          </w14:textFill>
        </w:rPr>
        <w:t>着力深化从严治团。</w:t>
      </w:r>
      <w:r>
        <w:rPr>
          <w:rFonts w:hint="eastAsia" w:ascii="仿宋" w:hAnsi="仿宋" w:eastAsia="仿宋" w:cs="仿宋"/>
          <w:b/>
          <w:color w:val="000000" w:themeColor="text1"/>
          <w:sz w:val="32"/>
          <w:szCs w:val="32"/>
          <w14:textFill>
            <w14:solidFill>
              <w14:schemeClr w14:val="tx1"/>
            </w14:solidFill>
          </w14:textFill>
        </w:rPr>
        <w:t>一是推进“智慧团建”。</w:t>
      </w:r>
      <w:r>
        <w:rPr>
          <w:rFonts w:hint="eastAsia" w:ascii="仿宋" w:hAnsi="仿宋" w:eastAsia="仿宋" w:cs="仿宋"/>
          <w:color w:val="000000" w:themeColor="text1"/>
          <w:sz w:val="32"/>
          <w:szCs w:val="32"/>
          <w14:textFill>
            <w14:solidFill>
              <w14:schemeClr w14:val="tx1"/>
            </w14:solidFill>
          </w14:textFill>
        </w:rPr>
        <w:t>全面启动“智慧团建”系统建设工作，深化动员部署，确保录入数据的真实性、准确性和完整性，年内完成</w:t>
      </w:r>
      <w:r>
        <w:rPr>
          <w:rFonts w:hint="eastAsia" w:ascii="仿宋" w:hAnsi="仿宋" w:eastAsia="仿宋" w:cs="仿宋"/>
          <w:color w:val="000000" w:themeColor="text1"/>
          <w:sz w:val="32"/>
          <w:szCs w:val="32"/>
          <w:lang w:val="en-US" w:eastAsia="zh-CN"/>
          <w14:textFill>
            <w14:solidFill>
              <w14:schemeClr w14:val="tx1"/>
            </w14:solidFill>
          </w14:textFill>
        </w:rPr>
        <w:t>938个</w:t>
      </w:r>
      <w:r>
        <w:rPr>
          <w:rFonts w:hint="eastAsia" w:ascii="仿宋" w:hAnsi="仿宋" w:eastAsia="仿宋" w:cs="仿宋"/>
          <w:color w:val="000000" w:themeColor="text1"/>
          <w:sz w:val="32"/>
          <w:szCs w:val="32"/>
          <w14:textFill>
            <w14:solidFill>
              <w14:schemeClr w14:val="tx1"/>
            </w14:solidFill>
          </w14:textFill>
        </w:rPr>
        <w:t>团支部、</w:t>
      </w:r>
      <w:r>
        <w:rPr>
          <w:rFonts w:hint="eastAsia" w:ascii="仿宋" w:hAnsi="仿宋" w:eastAsia="仿宋" w:cs="仿宋"/>
          <w:color w:val="000000" w:themeColor="text1"/>
          <w:sz w:val="32"/>
          <w:szCs w:val="32"/>
          <w:lang w:val="en-US" w:eastAsia="zh-CN"/>
          <w14:textFill>
            <w14:solidFill>
              <w14:schemeClr w14:val="tx1"/>
            </w14:solidFill>
          </w14:textFill>
        </w:rPr>
        <w:t>16513名</w:t>
      </w:r>
      <w:r>
        <w:rPr>
          <w:rFonts w:hint="eastAsia" w:ascii="仿宋" w:hAnsi="仿宋" w:eastAsia="仿宋" w:cs="仿宋"/>
          <w:color w:val="000000" w:themeColor="text1"/>
          <w:sz w:val="32"/>
          <w:szCs w:val="32"/>
          <w14:textFill>
            <w14:solidFill>
              <w14:schemeClr w14:val="tx1"/>
            </w14:solidFill>
          </w14:textFill>
        </w:rPr>
        <w:t>团员的录入工作，完成全区总量的</w:t>
      </w:r>
      <w:r>
        <w:rPr>
          <w:rFonts w:hint="eastAsia" w:ascii="仿宋" w:hAnsi="仿宋" w:eastAsia="仿宋" w:cs="仿宋"/>
          <w:color w:val="000000" w:themeColor="text1"/>
          <w:sz w:val="32"/>
          <w:szCs w:val="32"/>
          <w:lang w:val="en-US" w:eastAsia="zh-CN"/>
          <w14:textFill>
            <w14:solidFill>
              <w14:schemeClr w14:val="tx1"/>
            </w14:solidFill>
          </w14:textFill>
        </w:rPr>
        <w:t>90</w:t>
      </w:r>
      <w:r>
        <w:rPr>
          <w:rFonts w:hint="eastAsia" w:ascii="仿宋" w:hAnsi="仿宋" w:eastAsia="仿宋" w:cs="仿宋"/>
          <w:color w:val="000000" w:themeColor="text1"/>
          <w:sz w:val="32"/>
          <w:szCs w:val="32"/>
          <w14:textFill>
            <w14:solidFill>
              <w14:schemeClr w14:val="tx1"/>
            </w14:solidFill>
          </w14:textFill>
        </w:rPr>
        <w:t>%，建设进度居我市各区县（市）第一。</w:t>
      </w:r>
      <w:r>
        <w:rPr>
          <w:rFonts w:hint="eastAsia" w:ascii="仿宋" w:hAnsi="仿宋" w:eastAsia="仿宋" w:cs="仿宋"/>
          <w:b/>
          <w:color w:val="000000" w:themeColor="text1"/>
          <w:sz w:val="32"/>
          <w:szCs w:val="32"/>
          <w14:textFill>
            <w14:solidFill>
              <w14:schemeClr w14:val="tx1"/>
            </w14:solidFill>
          </w14:textFill>
        </w:rPr>
        <w:t>二是加强基层团干培训。</w:t>
      </w:r>
      <w:r>
        <w:rPr>
          <w:rFonts w:hint="eastAsia" w:ascii="仿宋" w:hAnsi="仿宋" w:eastAsia="仿宋" w:cs="仿宋"/>
          <w:color w:val="000000" w:themeColor="text1"/>
          <w:sz w:val="32"/>
          <w:szCs w:val="32"/>
          <w14:textFill>
            <w14:solidFill>
              <w14:schemeClr w14:val="tx1"/>
            </w14:solidFill>
          </w14:textFill>
        </w:rPr>
        <w:t>3月初举办2018年全区教育系统基层团（队）干部培训会，培训各级团干部100多人次，进一步提升了我区教育系统团干部、少先队辅导员开展团务工作和服务青少年的业务能力。</w:t>
      </w:r>
      <w:r>
        <w:rPr>
          <w:rFonts w:hint="eastAsia" w:ascii="仿宋" w:hAnsi="仿宋" w:eastAsia="仿宋" w:cs="仿宋"/>
          <w:b/>
          <w:bCs/>
          <w:color w:val="000000" w:themeColor="text1"/>
          <w:sz w:val="32"/>
          <w:szCs w:val="32"/>
          <w14:textFill>
            <w14:solidFill>
              <w14:schemeClr w14:val="tx1"/>
            </w14:solidFill>
          </w14:textFill>
        </w:rPr>
        <w:t>三是召开团区委全体（扩大）会议。</w:t>
      </w:r>
      <w:r>
        <w:rPr>
          <w:rFonts w:hint="eastAsia" w:ascii="仿宋" w:hAnsi="仿宋" w:eastAsia="仿宋" w:cs="仿宋"/>
          <w:color w:val="000000" w:themeColor="text1"/>
          <w:sz w:val="32"/>
          <w:szCs w:val="32"/>
          <w14:textFill>
            <w14:solidFill>
              <w14:schemeClr w14:val="tx1"/>
            </w14:solidFill>
          </w14:textFill>
        </w:rPr>
        <w:t>3月份召开共青团益阳市赫山区委五届委员会第三次全体（扩大）会议，审议通过了关于委员、候补委员卸职递补的确认案，确保了团区委各项职能的正常行使。</w:t>
      </w:r>
      <w:r>
        <w:rPr>
          <w:rFonts w:hint="eastAsia" w:ascii="仿宋" w:hAnsi="仿宋" w:eastAsia="仿宋" w:cs="仿宋"/>
          <w:b/>
          <w:bCs/>
          <w:color w:val="000000" w:themeColor="text1"/>
          <w:sz w:val="32"/>
          <w:szCs w:val="32"/>
          <w14:textFill>
            <w14:solidFill>
              <w14:schemeClr w14:val="tx1"/>
            </w14:solidFill>
          </w14:textFill>
        </w:rPr>
        <w:t>四是深化团区委机关建设。</w:t>
      </w:r>
      <w:r>
        <w:rPr>
          <w:rFonts w:hint="eastAsia" w:ascii="仿宋" w:hAnsi="仿宋" w:eastAsia="仿宋" w:cs="仿宋"/>
          <w:color w:val="000000" w:themeColor="text1"/>
          <w:sz w:val="32"/>
          <w:szCs w:val="32"/>
          <w14:textFill>
            <w14:solidFill>
              <w14:schemeClr w14:val="tx1"/>
            </w14:solidFill>
          </w14:textFill>
        </w:rPr>
        <w:t>带头践行“学习型、服务型、创新型”团组织建设，每周五下午定为团区委机关学习日，围绕习近平总书记关于青年工作的思想理论、青年关心的热点问题，团区委机关干部轮流讲授，促进机关干部提升</w:t>
      </w:r>
      <w:r>
        <w:rPr>
          <w:rFonts w:hint="eastAsia" w:ascii="仿宋" w:hAnsi="仿宋" w:eastAsia="仿宋" w:cs="仿宋"/>
          <w:color w:val="000000" w:themeColor="text1"/>
          <w:sz w:val="32"/>
          <w:szCs w:val="32"/>
          <w:lang w:val="en-US" w:eastAsia="zh-CN"/>
          <w14:textFill>
            <w14:solidFill>
              <w14:schemeClr w14:val="tx1"/>
            </w14:solidFill>
          </w14:textFill>
        </w:rPr>
        <w:t>做</w:t>
      </w:r>
      <w:r>
        <w:rPr>
          <w:rFonts w:hint="eastAsia" w:ascii="仿宋" w:hAnsi="仿宋" w:eastAsia="仿宋" w:cs="仿宋"/>
          <w:color w:val="000000" w:themeColor="text1"/>
          <w:sz w:val="32"/>
          <w:szCs w:val="32"/>
          <w14:textFill>
            <w14:solidFill>
              <w14:schemeClr w14:val="tx1"/>
            </w14:solidFill>
          </w14:textFill>
        </w:rPr>
        <w:t>青年工作</w:t>
      </w:r>
      <w:r>
        <w:rPr>
          <w:rFonts w:hint="eastAsia" w:ascii="仿宋" w:hAnsi="仿宋" w:eastAsia="仿宋" w:cs="仿宋"/>
          <w:color w:val="000000" w:themeColor="text1"/>
          <w:sz w:val="32"/>
          <w:szCs w:val="32"/>
          <w:lang w:val="en-US" w:eastAsia="zh-CN"/>
          <w14:textFill>
            <w14:solidFill>
              <w14:schemeClr w14:val="tx1"/>
            </w14:solidFill>
          </w14:textFill>
        </w:rPr>
        <w:t>的</w:t>
      </w:r>
      <w:r>
        <w:rPr>
          <w:rFonts w:hint="eastAsia" w:ascii="仿宋" w:hAnsi="仿宋" w:eastAsia="仿宋" w:cs="仿宋"/>
          <w:color w:val="000000" w:themeColor="text1"/>
          <w:sz w:val="32"/>
          <w:szCs w:val="32"/>
          <w14:textFill>
            <w14:solidFill>
              <w14:schemeClr w14:val="tx1"/>
            </w14:solidFill>
          </w14:textFill>
        </w:rPr>
        <w:t>能力。规范团区委工作例会制度，每周一上午召开工作例会，总结部署阶段性工作，推进机关工作规范化、制度化。</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3.</w:t>
      </w:r>
      <w:r>
        <w:rPr>
          <w:rFonts w:hint="eastAsia" w:ascii="楷体" w:hAnsi="楷体" w:eastAsia="楷体" w:cs="楷体"/>
          <w:color w:val="000000" w:themeColor="text1"/>
          <w:sz w:val="32"/>
          <w:szCs w:val="32"/>
          <w14:textFill>
            <w14:solidFill>
              <w14:schemeClr w14:val="tx1"/>
            </w14:solidFill>
          </w14:textFill>
        </w:rPr>
        <w:t>大力推动青年工作发展。</w:t>
      </w:r>
      <w:r>
        <w:rPr>
          <w:rFonts w:hint="eastAsia" w:ascii="仿宋" w:hAnsi="仿宋" w:eastAsia="仿宋" w:cs="仿宋"/>
          <w:b/>
          <w:color w:val="000000" w:themeColor="text1"/>
          <w:sz w:val="32"/>
          <w:szCs w:val="32"/>
          <w14:textFill>
            <w14:solidFill>
              <w14:schemeClr w14:val="tx1"/>
            </w14:solidFill>
          </w14:textFill>
        </w:rPr>
        <w:t>一是突出典型引领作用。</w:t>
      </w:r>
      <w:r>
        <w:rPr>
          <w:rFonts w:hint="eastAsia" w:ascii="仿宋" w:hAnsi="仿宋" w:eastAsia="仿宋" w:cs="仿宋"/>
          <w:color w:val="000000" w:themeColor="text1"/>
          <w:sz w:val="32"/>
          <w:szCs w:val="32"/>
          <w14:textFill>
            <w14:solidFill>
              <w14:schemeClr w14:val="tx1"/>
            </w14:solidFill>
          </w14:textFill>
        </w:rPr>
        <w:t>举办“新时代 新青年 新征程”赫山区五四青年人才座谈会，全区各条战线上的优秀青年100余人参加会议，会议还邀请到在家的区四大家领导和部分区委常委现场点评，此次座谈充分</w:t>
      </w:r>
      <w:r>
        <w:rPr>
          <w:rFonts w:hint="eastAsia" w:ascii="仿宋" w:hAnsi="仿宋" w:eastAsia="仿宋" w:cs="仿宋"/>
          <w:color w:val="000000" w:themeColor="text1"/>
          <w:sz w:val="32"/>
          <w:szCs w:val="32"/>
          <w:shd w:val="clear" w:color="auto" w:fill="FFFFFF"/>
          <w14:textFill>
            <w14:solidFill>
              <w14:schemeClr w14:val="tx1"/>
            </w14:solidFill>
          </w14:textFill>
        </w:rPr>
        <w:t>展示了当代赫山青年开拓创新、锐意进取的奋斗姿态，</w:t>
      </w:r>
      <w:r>
        <w:rPr>
          <w:rFonts w:hint="eastAsia" w:ascii="仿宋" w:hAnsi="仿宋" w:eastAsia="仿宋" w:cs="仿宋"/>
          <w:color w:val="000000" w:themeColor="text1"/>
          <w:sz w:val="32"/>
          <w:szCs w:val="32"/>
          <w14:textFill>
            <w14:solidFill>
              <w14:schemeClr w14:val="tx1"/>
            </w14:solidFill>
          </w14:textFill>
        </w:rPr>
        <w:t>在区级领导与先进青年之间搭建起良好的交流沟通平台；</w:t>
      </w:r>
      <w:r>
        <w:rPr>
          <w:rFonts w:hint="eastAsia" w:ascii="仿宋" w:hAnsi="仿宋" w:eastAsia="仿宋" w:cs="仿宋"/>
          <w:color w:val="000000" w:themeColor="text1"/>
          <w:sz w:val="32"/>
          <w:szCs w:val="32"/>
          <w:lang w:val="en-US" w:eastAsia="zh-CN"/>
          <w14:textFill>
            <w14:solidFill>
              <w14:schemeClr w14:val="tx1"/>
            </w14:solidFill>
          </w14:textFill>
        </w:rPr>
        <w:t>发掘推介优秀青年，推选团十八大代表1名；</w:t>
      </w:r>
      <w:r>
        <w:rPr>
          <w:rFonts w:hint="eastAsia" w:ascii="仿宋" w:hAnsi="仿宋" w:eastAsia="仿宋" w:cs="仿宋"/>
          <w:color w:val="000000" w:themeColor="text1"/>
          <w:sz w:val="32"/>
          <w:szCs w:val="32"/>
          <w14:textFill>
            <w14:solidFill>
              <w14:schemeClr w14:val="tx1"/>
            </w14:solidFill>
          </w14:textFill>
        </w:rPr>
        <w:t>年内开展“五四红旗团委”“五四红旗团支部”“优秀共青团干部”“优秀共青团员”评优评选活动和 2018年赫山区“十佳（优秀）少年”“十佳（优秀）少先队辅导员”“优秀少年集体”“支持少先队工作好校长”评选活动，</w:t>
      </w:r>
      <w:r>
        <w:rPr>
          <w:rFonts w:hint="eastAsia" w:ascii="仿宋" w:hAnsi="仿宋" w:eastAsia="仿宋" w:cs="仿宋"/>
          <w:color w:val="000000" w:themeColor="text1"/>
          <w:sz w:val="32"/>
          <w:szCs w:val="32"/>
          <w:shd w:val="clear" w:color="auto" w:fill="FFFFFF"/>
          <w14:textFill>
            <w14:solidFill>
              <w14:schemeClr w14:val="tx1"/>
            </w14:solidFill>
          </w14:textFill>
        </w:rPr>
        <w:t>通过树立、表彰先进工作典型，引领青年梦想，传递青春正能量，有效激励广大青年立足岗位工作，积极创新创造，为全区经济社会发展注入了更多青春力量。</w:t>
      </w:r>
      <w:r>
        <w:rPr>
          <w:rFonts w:hint="eastAsia" w:ascii="仿宋" w:hAnsi="仿宋" w:eastAsia="仿宋" w:cs="仿宋"/>
          <w:b/>
          <w:bCs/>
          <w:color w:val="000000" w:themeColor="text1"/>
          <w:sz w:val="32"/>
          <w:szCs w:val="32"/>
          <w14:textFill>
            <w14:solidFill>
              <w14:schemeClr w14:val="tx1"/>
            </w14:solidFill>
          </w14:textFill>
        </w:rPr>
        <w:t>二是打造青少年综合服务平台。</w:t>
      </w:r>
      <w:r>
        <w:rPr>
          <w:rFonts w:hint="eastAsia" w:ascii="仿宋" w:hAnsi="仿宋" w:eastAsia="仿宋" w:cs="仿宋"/>
          <w:color w:val="000000" w:themeColor="text1"/>
          <w:sz w:val="32"/>
          <w:szCs w:val="32"/>
          <w14:textFill>
            <w14:solidFill>
              <w14:schemeClr w14:val="tx1"/>
            </w14:solidFill>
          </w14:textFill>
        </w:rPr>
        <w:t>依托“青少年维权岗”“青年之家”等平台与青年社会组织达成合作协议，并通过开展活动、组织共建等方式吸引青年社会组织入驻；旨在推动赫山青年成长成才的“赫山青年学院”正式成立，年内建设分院2所；全国示范性“青年之家”综合服务平台“尚美书吧”正式授牌；赫山共青团微信公众号稳居全省县级团委公众号排名第一方阵，广受青年朋友关心关注。</w:t>
      </w:r>
      <w:r>
        <w:rPr>
          <w:rFonts w:hint="eastAsia" w:ascii="仿宋" w:hAnsi="仿宋" w:eastAsia="仿宋" w:cs="仿宋"/>
          <w:b/>
          <w:bCs/>
          <w:color w:val="000000" w:themeColor="text1"/>
          <w:sz w:val="32"/>
          <w:szCs w:val="32"/>
          <w14:textFill>
            <w14:solidFill>
              <w14:schemeClr w14:val="tx1"/>
            </w14:solidFill>
          </w14:textFill>
        </w:rPr>
        <w:t>三是搭建交友平台，创新活动形式。</w:t>
      </w:r>
      <w:r>
        <w:rPr>
          <w:rFonts w:hint="eastAsia" w:ascii="仿宋" w:hAnsi="仿宋" w:eastAsia="仿宋" w:cs="仿宋"/>
          <w:color w:val="000000" w:themeColor="text1"/>
          <w:sz w:val="32"/>
          <w:szCs w:val="32"/>
          <w14:textFill>
            <w14:solidFill>
              <w14:schemeClr w14:val="tx1"/>
            </w14:solidFill>
          </w14:textFill>
        </w:rPr>
        <w:t>首届一周“CP”活动正式启动，300余名单身青年踊跃报名；7月底挂牌成立的赫山青年学院全城热恋分院，累计开展青年学习、兴趣类等活动10余场，400余人踊跃参加，力争为广大青少年提供切实有效的服务帮助。</w:t>
      </w:r>
      <w:r>
        <w:rPr>
          <w:rFonts w:hint="eastAsia" w:ascii="仿宋" w:hAnsi="仿宋" w:eastAsia="仿宋" w:cs="仿宋"/>
          <w:b/>
          <w:bCs/>
          <w:color w:val="000000" w:themeColor="text1"/>
          <w:sz w:val="32"/>
          <w:szCs w:val="32"/>
          <w14:textFill>
            <w14:solidFill>
              <w14:schemeClr w14:val="tx1"/>
            </w14:solidFill>
          </w14:textFill>
        </w:rPr>
        <w:t>四是着重强化意识形态工作。</w:t>
      </w:r>
      <w:r>
        <w:rPr>
          <w:rFonts w:hint="eastAsia" w:ascii="仿宋" w:hAnsi="仿宋" w:eastAsia="仿宋" w:cs="仿宋"/>
          <w:color w:val="000000" w:themeColor="text1"/>
          <w:sz w:val="32"/>
          <w:szCs w:val="32"/>
          <w14:textFill>
            <w14:solidFill>
              <w14:schemeClr w14:val="tx1"/>
            </w14:solidFill>
          </w14:textFill>
        </w:rPr>
        <w:t>聚焦主责、围绕主业，扎实开展青少年意识形态工作。全面推进“青年大学习”行动，广泛开展“学习新思想·建功新时代”主题教育实践活动，引导广大青少年坚定“四个自信”，筑牢“四个意识”；“六一”前夕，举办了“你好，新时代”庆“六一”文艺演出，全区少年儿童共同抒发拥抱新时代、争做好队员的远大理想。</w:t>
      </w:r>
      <w:r>
        <w:rPr>
          <w:rFonts w:hint="eastAsia" w:ascii="仿宋" w:hAnsi="仿宋" w:eastAsia="仿宋" w:cs="仿宋"/>
          <w:b/>
          <w:bCs/>
          <w:color w:val="000000" w:themeColor="text1"/>
          <w:sz w:val="32"/>
          <w:szCs w:val="32"/>
          <w14:textFill>
            <w14:solidFill>
              <w14:schemeClr w14:val="tx1"/>
            </w14:solidFill>
          </w14:textFill>
        </w:rPr>
        <w:t>五是保障青少年民生需求。</w:t>
      </w:r>
      <w:r>
        <w:rPr>
          <w:rFonts w:hint="eastAsia" w:ascii="仿宋" w:hAnsi="仿宋" w:eastAsia="仿宋" w:cs="仿宋"/>
          <w:color w:val="000000" w:themeColor="text1"/>
          <w:sz w:val="32"/>
          <w:szCs w:val="32"/>
          <w14:textFill>
            <w14:solidFill>
              <w14:schemeClr w14:val="tx1"/>
            </w14:solidFill>
          </w14:textFill>
        </w:rPr>
        <w:t>深入开展2018“青少年维权岗”争创活动，深化青少年禁毒、预防暴力、平安自护等教育宣传活动，丰富青少年精神生活。扎实做好“七色彩虹桥”“三下乡”等活动的落实开展。深化“青年之声”“青年之家”平台建设，重点做好“青年学院”“团团红娘”的推广宣传工作，开展相亲交友活动</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余场。</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4.</w:t>
      </w:r>
      <w:r>
        <w:rPr>
          <w:rFonts w:hint="eastAsia" w:ascii="楷体" w:hAnsi="楷体" w:eastAsia="楷体" w:cs="楷体"/>
          <w:color w:val="000000" w:themeColor="text1"/>
          <w:sz w:val="32"/>
          <w:szCs w:val="32"/>
          <w14:textFill>
            <w14:solidFill>
              <w14:schemeClr w14:val="tx1"/>
            </w14:solidFill>
          </w14:textFill>
        </w:rPr>
        <w:t>凝心汇力,服务中心工作大局。</w:t>
      </w:r>
      <w:r>
        <w:rPr>
          <w:rFonts w:hint="eastAsia" w:ascii="仿宋" w:hAnsi="仿宋" w:eastAsia="仿宋" w:cs="仿宋"/>
          <w:b/>
          <w:bCs/>
          <w:color w:val="000000" w:themeColor="text1"/>
          <w:sz w:val="32"/>
          <w:szCs w:val="32"/>
          <w14:textFill>
            <w14:solidFill>
              <w14:schemeClr w14:val="tx1"/>
            </w14:solidFill>
          </w14:textFill>
        </w:rPr>
        <w:t>一是青春闪耀“扶贫路”。</w:t>
      </w:r>
      <w:r>
        <w:rPr>
          <w:rFonts w:hint="eastAsia" w:ascii="仿宋" w:hAnsi="仿宋" w:eastAsia="仿宋" w:cs="仿宋"/>
          <w:color w:val="000000" w:themeColor="text1"/>
          <w:sz w:val="32"/>
          <w:szCs w:val="32"/>
          <w14:textFill>
            <w14:solidFill>
              <w14:schemeClr w14:val="tx1"/>
            </w14:solidFill>
          </w14:textFill>
        </w:rPr>
        <w:t>实施“湘窖·我的大学梦”“国酒茅台·国之栋梁”“华融湘江银行”“芙蓉学子” “一周一善行”等品牌助学活动，帮助</w:t>
      </w:r>
      <w:r>
        <w:rPr>
          <w:rFonts w:hint="eastAsia" w:ascii="仿宋" w:hAnsi="仿宋" w:eastAsia="仿宋" w:cs="仿宋"/>
          <w:color w:val="000000" w:themeColor="text1"/>
          <w:sz w:val="32"/>
          <w:szCs w:val="32"/>
          <w:lang w:val="en-US" w:eastAsia="zh-CN"/>
          <w14:textFill>
            <w14:solidFill>
              <w14:schemeClr w14:val="tx1"/>
            </w14:solidFill>
          </w14:textFill>
        </w:rPr>
        <w:t>60余</w:t>
      </w:r>
      <w:r>
        <w:rPr>
          <w:rFonts w:hint="eastAsia" w:ascii="仿宋" w:hAnsi="仿宋" w:eastAsia="仿宋" w:cs="仿宋"/>
          <w:color w:val="000000" w:themeColor="text1"/>
          <w:sz w:val="32"/>
          <w:szCs w:val="32"/>
          <w14:textFill>
            <w14:solidFill>
              <w14:schemeClr w14:val="tx1"/>
            </w14:solidFill>
          </w14:textFill>
        </w:rPr>
        <w:t>名贫困学子，资助金额</w:t>
      </w:r>
      <w:r>
        <w:rPr>
          <w:rFonts w:hint="eastAsia" w:ascii="仿宋" w:hAnsi="仿宋" w:eastAsia="仿宋" w:cs="仿宋"/>
          <w:color w:val="000000" w:themeColor="text1"/>
          <w:sz w:val="32"/>
          <w:szCs w:val="32"/>
          <w:lang w:val="en-US" w:eastAsia="zh-CN"/>
          <w14:textFill>
            <w14:solidFill>
              <w14:schemeClr w14:val="tx1"/>
            </w14:solidFill>
          </w14:textFill>
        </w:rPr>
        <w:t>25</w:t>
      </w:r>
      <w:r>
        <w:rPr>
          <w:rFonts w:hint="eastAsia" w:ascii="仿宋" w:hAnsi="仿宋" w:eastAsia="仿宋" w:cs="仿宋"/>
          <w:color w:val="000000" w:themeColor="text1"/>
          <w:sz w:val="32"/>
          <w:szCs w:val="32"/>
          <w14:textFill>
            <w14:solidFill>
              <w14:schemeClr w14:val="tx1"/>
            </w14:solidFill>
          </w14:textFill>
        </w:rPr>
        <w:t>万元。充分发挥共青团组织化和社会化动员优势，建立健全团组织内部力量和外部资源协同参与的社会化扶贫工作机制，9月开展“暖秋用心公益 关爱留守儿童”20名贫困留守儿童在中秋佳节之际度过了温暖的中秋节。通过活动不断深化品牌项目，汇聚合力助推脱贫攻坚。</w:t>
      </w:r>
      <w:r>
        <w:rPr>
          <w:rFonts w:hint="eastAsia" w:ascii="仿宋" w:hAnsi="仿宋" w:eastAsia="仿宋" w:cs="仿宋"/>
          <w:b/>
          <w:color w:val="000000" w:themeColor="text1"/>
          <w:sz w:val="32"/>
          <w:szCs w:val="32"/>
          <w14:textFill>
            <w14:solidFill>
              <w14:schemeClr w14:val="tx1"/>
            </w14:solidFill>
          </w14:textFill>
        </w:rPr>
        <w:t>二是擦亮志愿服务“金名片”。</w:t>
      </w:r>
      <w:r>
        <w:rPr>
          <w:rFonts w:hint="eastAsia" w:ascii="仿宋" w:hAnsi="仿宋" w:eastAsia="仿宋" w:cs="仿宋"/>
          <w:color w:val="000000" w:themeColor="text1"/>
          <w:sz w:val="32"/>
          <w:szCs w:val="32"/>
          <w14:textFill>
            <w14:solidFill>
              <w14:schemeClr w14:val="tx1"/>
            </w14:solidFill>
          </w14:textFill>
        </w:rPr>
        <w:t>圆满完成益阳现代农业嘉年华开园仪式大型活动等</w:t>
      </w:r>
      <w:r>
        <w:rPr>
          <w:rFonts w:hint="eastAsia" w:ascii="仿宋" w:hAnsi="仿宋" w:eastAsia="仿宋" w:cs="仿宋"/>
          <w:color w:val="000000" w:themeColor="text1"/>
          <w:sz w:val="32"/>
          <w:szCs w:val="32"/>
          <w:lang w:val="en-US" w:eastAsia="zh-CN"/>
          <w14:textFill>
            <w14:solidFill>
              <w14:schemeClr w14:val="tx1"/>
            </w14:solidFill>
          </w14:textFill>
        </w:rPr>
        <w:t>赛会</w:t>
      </w:r>
      <w:r>
        <w:rPr>
          <w:rFonts w:hint="eastAsia" w:ascii="仿宋" w:hAnsi="仿宋" w:eastAsia="仿宋" w:cs="仿宋"/>
          <w:color w:val="000000" w:themeColor="text1"/>
          <w:sz w:val="32"/>
          <w:szCs w:val="32"/>
          <w14:textFill>
            <w14:solidFill>
              <w14:schemeClr w14:val="tx1"/>
            </w14:solidFill>
          </w14:textFill>
        </w:rPr>
        <w:t>志愿服务2场，组织志愿者300余人次，累计服务时数超过1万小时。举办大型志愿者培训2次，提升志愿服务综合能力。10月份完成新一轮创文交通劝导员招募面试、体检、培训、协议签订，全区40名高素质劝导员全部上岗履职，助力文明创建。组织160余名志愿者开展中元节“两禁”文明劝导志愿服务活动；常态开展“碧水清流益起行”护河志愿服务活动，参与环保志愿者达2000余名。</w:t>
      </w:r>
      <w:r>
        <w:rPr>
          <w:rFonts w:hint="eastAsia" w:ascii="仿宋" w:hAnsi="仿宋" w:eastAsia="仿宋" w:cs="仿宋"/>
          <w:b/>
          <w:bCs/>
          <w:color w:val="000000" w:themeColor="text1"/>
          <w:sz w:val="32"/>
          <w:szCs w:val="32"/>
          <w14:textFill>
            <w14:solidFill>
              <w14:schemeClr w14:val="tx1"/>
            </w14:solidFill>
          </w14:textFill>
        </w:rPr>
        <w:t>三是助力创新驱动发展。</w:t>
      </w:r>
      <w:r>
        <w:rPr>
          <w:rFonts w:hint="eastAsia" w:ascii="仿宋" w:hAnsi="仿宋" w:eastAsia="仿宋" w:cs="仿宋"/>
          <w:color w:val="000000" w:themeColor="text1"/>
          <w:sz w:val="32"/>
          <w:szCs w:val="32"/>
          <w14:textFill>
            <w14:solidFill>
              <w14:schemeClr w14:val="tx1"/>
            </w14:solidFill>
          </w14:textFill>
        </w:rPr>
        <w:t>围绕促进高质量发展，积极推介赫山青年参与第五届创青春湖南省青年创新创业大赛，围绕“促进农业农村发展”，提升农村青年创业创新能力，积极挖掘宣传农村青年典型，举办农村青年电商创业培训班、青年民宿管家职业技能培训班，开展创业沙龙进农村等活动。</w:t>
      </w:r>
    </w:p>
    <w:p>
      <w:pPr>
        <w:pStyle w:val="4"/>
        <w:keepNext w:val="0"/>
        <w:keepLines w:val="0"/>
        <w:pageBreakBefore w:val="0"/>
        <w:shd w:val="clear" w:color="auto" w:fill="FFFFFF"/>
        <w:kinsoku/>
        <w:wordWrap/>
        <w:overflowPunct/>
        <w:topLinePunct w:val="0"/>
        <w:autoSpaceDN/>
        <w:bidi w:val="0"/>
        <w:adjustRightInd/>
        <w:snapToGrid/>
        <w:spacing w:before="0" w:beforeAutospacing="0" w:after="0" w:afterAutospacing="0" w:line="560" w:lineRule="exact"/>
        <w:ind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（四）评价结论</w:t>
      </w:r>
    </w:p>
    <w:p>
      <w:pPr>
        <w:pStyle w:val="4"/>
        <w:keepNext w:val="0"/>
        <w:keepLines w:val="0"/>
        <w:pageBreakBefore w:val="0"/>
        <w:shd w:val="clear" w:color="auto" w:fill="FFFFFF"/>
        <w:kinsoku/>
        <w:wordWrap/>
        <w:overflowPunct/>
        <w:topLinePunct w:val="0"/>
        <w:autoSpaceDN/>
        <w:bidi w:val="0"/>
        <w:adjustRightInd/>
        <w:snapToGrid/>
        <w:spacing w:before="0" w:beforeAutospacing="0" w:after="0" w:afterAutospacing="0" w:line="560" w:lineRule="exact"/>
        <w:ind w:firstLine="640" w:firstLineChars="200"/>
        <w:jc w:val="both"/>
        <w:textAlignment w:val="auto"/>
        <w:outlineLvl w:val="9"/>
        <w:rPr>
          <w:rFonts w:hint="eastAsia" w:ascii="仿宋" w:hAnsi="仿宋" w:eastAsia="仿宋"/>
          <w:sz w:val="32"/>
          <w:szCs w:val="32"/>
        </w:rPr>
      </w:pPr>
      <w:r>
        <w:rPr>
          <w:rFonts w:hint="eastAsia" w:ascii="仿宋" w:hAnsi="仿宋" w:eastAsia="仿宋"/>
          <w:sz w:val="32"/>
          <w:szCs w:val="32"/>
        </w:rPr>
        <w:t>一是预算执行到位。严格执行《预算法》和各项财经纪律，机关管理制度健全，财务管理规范，预算编制合理;二是资金监管到位。经费开支按用途使用合理，做到专</w:t>
      </w:r>
      <w:r>
        <w:rPr>
          <w:rFonts w:hint="eastAsia" w:ascii="仿宋" w:hAnsi="仿宋" w:eastAsia="仿宋"/>
          <w:sz w:val="32"/>
          <w:szCs w:val="32"/>
          <w:lang w:eastAsia="zh-CN"/>
        </w:rPr>
        <w:t>账</w:t>
      </w:r>
      <w:r>
        <w:rPr>
          <w:rFonts w:hint="eastAsia" w:ascii="仿宋" w:hAnsi="仿宋" w:eastAsia="仿宋"/>
          <w:sz w:val="32"/>
          <w:szCs w:val="32"/>
        </w:rPr>
        <w:t>专管,专款专用。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sz w:val="32"/>
          <w:szCs w:val="32"/>
        </w:rPr>
      </w:pPr>
      <w:r>
        <w:rPr>
          <w:rFonts w:hint="eastAsia" w:ascii="仿宋" w:hAnsi="仿宋" w:eastAsia="仿宋" w:cs="仿宋"/>
          <w:sz w:val="32"/>
          <w:szCs w:val="32"/>
          <w:lang w:eastAsia="zh-CN"/>
        </w:rPr>
        <w:t>根据《201</w:t>
      </w: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年部门整体支出绩效自评指标计分表》评分，得分9</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分（详见附表），财政支出绩效自评结果为优。</w:t>
      </w:r>
    </w:p>
    <w:p>
      <w:pPr>
        <w:keepNext w:val="0"/>
        <w:keepLines w:val="0"/>
        <w:pageBreakBefore w:val="0"/>
        <w:numPr>
          <w:ilvl w:val="0"/>
          <w:numId w:val="0"/>
        </w:numPr>
        <w:kinsoku/>
        <w:wordWrap/>
        <w:overflowPunct/>
        <w:topLinePunct w:val="0"/>
        <w:autoSpaceDN/>
        <w:bidi w:val="0"/>
        <w:adjustRightInd/>
        <w:snapToGrid/>
        <w:spacing w:line="560" w:lineRule="exact"/>
        <w:ind w:firstLine="640" w:firstLineChars="200"/>
        <w:textAlignment w:val="auto"/>
        <w:outlineLvl w:val="9"/>
        <w:rPr>
          <w:rFonts w:hint="eastAsia" w:ascii="黑体" w:hAnsi="黑体" w:eastAsia="黑体" w:cs="黑体"/>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四、存在的问题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黑体简体" w:hAnsi="方正黑体简体" w:eastAsia="方正黑体简体" w:cs="方正黑体简体"/>
          <w:b w:val="0"/>
          <w:bCs/>
          <w:color w:val="000000"/>
          <w:kern w:val="0"/>
          <w:sz w:val="32"/>
          <w:szCs w:val="32"/>
        </w:rPr>
      </w:pPr>
      <w:r>
        <w:rPr>
          <w:rFonts w:hint="eastAsia" w:ascii="仿宋_GB2312" w:hAnsi="仿宋_GB2312" w:eastAsia="仿宋_GB2312" w:cs="仿宋_GB2312"/>
          <w:color w:val="000000"/>
          <w:kern w:val="0"/>
          <w:sz w:val="32"/>
          <w:szCs w:val="32"/>
          <w:lang w:eastAsia="zh-CN"/>
        </w:rPr>
        <w:t>因财力有限，相关工作经费未能纳入年初预算</w:t>
      </w:r>
      <w:r>
        <w:rPr>
          <w:rFonts w:hint="eastAsia" w:ascii="仿宋_GB2312" w:hAnsi="仿宋_GB2312" w:eastAsia="仿宋_GB2312" w:cs="仿宋_GB2312"/>
          <w:color w:val="000000"/>
          <w:kern w:val="0"/>
          <w:sz w:val="32"/>
          <w:szCs w:val="32"/>
        </w:rPr>
        <w:t>。</w:t>
      </w:r>
    </w:p>
    <w:p>
      <w:pPr>
        <w:keepNext w:val="0"/>
        <w:keepLines w:val="0"/>
        <w:pageBreakBefore w:val="0"/>
        <w:numPr>
          <w:ilvl w:val="0"/>
          <w:numId w:val="0"/>
        </w:numPr>
        <w:kinsoku/>
        <w:wordWrap/>
        <w:overflowPunct/>
        <w:topLinePunct w:val="0"/>
        <w:autoSpaceDN/>
        <w:bidi w:val="0"/>
        <w:adjustRightInd/>
        <w:snapToGrid/>
        <w:spacing w:line="560" w:lineRule="exact"/>
        <w:ind w:firstLine="640" w:firstLineChars="200"/>
        <w:textAlignment w:val="auto"/>
        <w:outlineLvl w:val="9"/>
        <w:rPr>
          <w:rFonts w:hint="eastAsia" w:ascii="黑体" w:hAnsi="黑体" w:eastAsia="黑体" w:cs="黑体"/>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五、有关建议</w:t>
      </w:r>
    </w:p>
    <w:p>
      <w:pPr>
        <w:pStyle w:val="4"/>
        <w:keepNext w:val="0"/>
        <w:keepLines w:val="0"/>
        <w:pageBreakBefore w:val="0"/>
        <w:shd w:val="clear" w:color="auto" w:fill="FFFFFF"/>
        <w:kinsoku/>
        <w:wordWrap/>
        <w:overflowPunct/>
        <w:topLinePunct w:val="0"/>
        <w:autoSpaceDN/>
        <w:bidi w:val="0"/>
        <w:adjustRightInd/>
        <w:snapToGrid/>
        <w:spacing w:before="0" w:beforeAutospacing="0" w:after="0" w:afterAutospacing="0" w:line="560" w:lineRule="exact"/>
        <w:ind w:firstLine="640" w:firstLineChars="200"/>
        <w:jc w:val="both"/>
        <w:textAlignment w:val="auto"/>
        <w:outlineLvl w:val="9"/>
        <w:rPr>
          <w:rFonts w:hint="eastAsia" w:ascii="仿宋" w:hAnsi="仿宋" w:eastAsia="仿宋"/>
          <w:sz w:val="32"/>
          <w:szCs w:val="32"/>
        </w:rPr>
      </w:pPr>
      <w:r>
        <w:rPr>
          <w:rFonts w:hint="eastAsia" w:ascii="仿宋_GB2312" w:hAnsi="仿宋_GB2312" w:eastAsia="仿宋_GB2312" w:cs="仿宋_GB2312"/>
          <w:color w:val="000000"/>
          <w:kern w:val="0"/>
          <w:sz w:val="32"/>
          <w:szCs w:val="32"/>
        </w:rPr>
        <w:t>科学合理编制预算，严格执行预算。要按照《预算法》及其实施条例的相关规定，参考上一年的预算执行情况和年度的收支预测、部门重点工作等科学编制预算，避免年中大幅追加以及超预算。同时严格预算执行，提高资金使用效率。</w:t>
      </w:r>
    </w:p>
    <w:p>
      <w:pPr>
        <w:pStyle w:val="4"/>
        <w:keepNext w:val="0"/>
        <w:keepLines w:val="0"/>
        <w:pageBreakBefore w:val="0"/>
        <w:shd w:val="clear" w:color="auto" w:fill="FFFFFF"/>
        <w:kinsoku/>
        <w:wordWrap/>
        <w:overflowPunct/>
        <w:topLinePunct w:val="0"/>
        <w:autoSpaceDN/>
        <w:bidi w:val="0"/>
        <w:adjustRightInd/>
        <w:snapToGrid/>
        <w:spacing w:before="0" w:beforeAutospacing="0" w:after="0" w:afterAutospacing="0" w:line="560" w:lineRule="exact"/>
        <w:jc w:val="both"/>
        <w:textAlignment w:val="auto"/>
        <w:outlineLvl w:val="9"/>
        <w:rPr>
          <w:rFonts w:hint="eastAsia" w:ascii="仿宋" w:hAnsi="仿宋" w:eastAsia="仿宋"/>
          <w:sz w:val="32"/>
          <w:szCs w:val="32"/>
        </w:rPr>
      </w:pPr>
    </w:p>
    <w:p>
      <w:pPr>
        <w:pStyle w:val="4"/>
        <w:keepNext w:val="0"/>
        <w:keepLines w:val="0"/>
        <w:pageBreakBefore w:val="0"/>
        <w:shd w:val="clear" w:color="auto" w:fill="FFFFFF"/>
        <w:kinsoku/>
        <w:wordWrap/>
        <w:overflowPunct/>
        <w:topLinePunct w:val="0"/>
        <w:autoSpaceDN/>
        <w:bidi w:val="0"/>
        <w:adjustRightInd/>
        <w:snapToGrid/>
        <w:spacing w:before="0" w:beforeAutospacing="0" w:after="0" w:afterAutospacing="0" w:line="560" w:lineRule="exact"/>
        <w:jc w:val="both"/>
        <w:textAlignment w:val="auto"/>
        <w:outlineLvl w:val="9"/>
        <w:rPr>
          <w:rFonts w:hint="eastAsia" w:ascii="仿宋" w:hAnsi="仿宋" w:eastAsia="仿宋"/>
          <w:sz w:val="32"/>
          <w:szCs w:val="32"/>
        </w:rPr>
      </w:pPr>
    </w:p>
    <w:p>
      <w:pPr>
        <w:pStyle w:val="4"/>
        <w:keepNext w:val="0"/>
        <w:keepLines w:val="0"/>
        <w:pageBreakBefore w:val="0"/>
        <w:shd w:val="clear" w:color="auto" w:fill="FFFFFF"/>
        <w:kinsoku/>
        <w:wordWrap/>
        <w:overflowPunct/>
        <w:topLinePunct w:val="0"/>
        <w:autoSpaceDN/>
        <w:bidi w:val="0"/>
        <w:adjustRightInd/>
        <w:snapToGrid/>
        <w:spacing w:before="0" w:beforeAutospacing="0" w:after="0" w:afterAutospacing="0" w:line="560" w:lineRule="exact"/>
        <w:ind w:firstLine="800" w:firstLineChars="250"/>
        <w:jc w:val="both"/>
        <w:textAlignment w:val="auto"/>
        <w:outlineLvl w:val="9"/>
        <w:rPr>
          <w:rFonts w:hint="eastAsia" w:ascii="仿宋" w:hAnsi="仿宋" w:eastAsia="仿宋"/>
          <w:sz w:val="32"/>
          <w:szCs w:val="32"/>
          <w:lang w:val="en-US" w:eastAsia="zh-CN"/>
        </w:rPr>
      </w:pPr>
      <w:r>
        <w:rPr>
          <w:rFonts w:hint="eastAsia" w:ascii="仿宋" w:hAnsi="仿宋" w:eastAsia="仿宋"/>
          <w:sz w:val="32"/>
          <w:szCs w:val="32"/>
        </w:rPr>
        <w:t xml:space="preserve">                  </w:t>
      </w:r>
      <w:r>
        <w:rPr>
          <w:rFonts w:hint="eastAsia" w:ascii="仿宋" w:hAnsi="仿宋" w:eastAsia="仿宋"/>
          <w:sz w:val="32"/>
          <w:szCs w:val="32"/>
          <w:lang w:val="en-US" w:eastAsia="zh-CN"/>
        </w:rPr>
        <w:t>共青团益阳市赫山区委员会</w:t>
      </w:r>
    </w:p>
    <w:p>
      <w:pPr>
        <w:pStyle w:val="4"/>
        <w:keepNext w:val="0"/>
        <w:keepLines w:val="0"/>
        <w:pageBreakBefore w:val="0"/>
        <w:shd w:val="clear" w:color="auto" w:fill="FFFFFF"/>
        <w:kinsoku/>
        <w:wordWrap/>
        <w:overflowPunct/>
        <w:topLinePunct w:val="0"/>
        <w:autoSpaceDN/>
        <w:bidi w:val="0"/>
        <w:adjustRightInd/>
        <w:snapToGrid/>
        <w:spacing w:before="0" w:beforeAutospacing="0" w:after="0" w:afterAutospacing="0" w:line="560" w:lineRule="exact"/>
        <w:ind w:firstLine="800" w:firstLineChars="250"/>
        <w:jc w:val="both"/>
        <w:textAlignment w:val="auto"/>
        <w:outlineLvl w:val="9"/>
        <w:rPr>
          <w:rFonts w:hint="eastAsia" w:ascii="仿宋" w:hAnsi="仿宋" w:eastAsia="仿宋"/>
          <w:sz w:val="32"/>
          <w:szCs w:val="32"/>
        </w:rPr>
      </w:pPr>
      <w:r>
        <w:rPr>
          <w:rFonts w:hint="eastAsia" w:ascii="仿宋" w:hAnsi="仿宋" w:eastAsia="仿宋"/>
          <w:sz w:val="32"/>
          <w:szCs w:val="32"/>
        </w:rPr>
        <w:t xml:space="preserve">                      201</w:t>
      </w:r>
      <w:r>
        <w:rPr>
          <w:rFonts w:hint="eastAsia" w:ascii="仿宋" w:hAnsi="仿宋" w:eastAsia="仿宋"/>
          <w:sz w:val="32"/>
          <w:szCs w:val="32"/>
          <w:lang w:val="en-US" w:eastAsia="zh-CN"/>
        </w:rPr>
        <w:t>9</w:t>
      </w:r>
      <w:r>
        <w:rPr>
          <w:rFonts w:hint="eastAsia" w:ascii="仿宋" w:hAnsi="仿宋" w:eastAsia="仿宋"/>
          <w:sz w:val="32"/>
          <w:szCs w:val="32"/>
        </w:rPr>
        <w:t>年</w:t>
      </w:r>
      <w:r>
        <w:rPr>
          <w:rFonts w:hint="eastAsia" w:ascii="仿宋" w:hAnsi="仿宋" w:eastAsia="仿宋"/>
          <w:sz w:val="32"/>
          <w:szCs w:val="32"/>
          <w:lang w:val="en-US" w:eastAsia="zh-CN"/>
        </w:rPr>
        <w:t>7</w:t>
      </w:r>
      <w:r>
        <w:rPr>
          <w:rFonts w:hint="eastAsia" w:ascii="仿宋" w:hAnsi="仿宋" w:eastAsia="仿宋"/>
          <w:sz w:val="32"/>
          <w:szCs w:val="32"/>
        </w:rPr>
        <w:t>月</w:t>
      </w:r>
      <w:r>
        <w:rPr>
          <w:rFonts w:hint="eastAsia" w:ascii="仿宋" w:hAnsi="仿宋" w:eastAsia="仿宋"/>
          <w:sz w:val="32"/>
          <w:szCs w:val="32"/>
          <w:lang w:val="en-US" w:eastAsia="zh-CN"/>
        </w:rPr>
        <w:t>8</w:t>
      </w:r>
      <w:r>
        <w:rPr>
          <w:rFonts w:hint="eastAsia" w:ascii="仿宋" w:hAnsi="仿宋" w:eastAsia="仿宋"/>
          <w:sz w:val="32"/>
          <w:szCs w:val="32"/>
        </w:rPr>
        <w:t>日</w:t>
      </w:r>
    </w:p>
    <w:p>
      <w:pPr>
        <w:pStyle w:val="4"/>
        <w:keepNext w:val="0"/>
        <w:keepLines w:val="0"/>
        <w:pageBreakBefore w:val="0"/>
        <w:shd w:val="clear" w:color="auto" w:fill="FFFFFF"/>
        <w:kinsoku/>
        <w:wordWrap/>
        <w:overflowPunct/>
        <w:topLinePunct w:val="0"/>
        <w:autoSpaceDN/>
        <w:bidi w:val="0"/>
        <w:adjustRightInd/>
        <w:snapToGrid/>
        <w:spacing w:before="0" w:beforeAutospacing="0" w:after="0" w:afterAutospacing="0" w:line="560" w:lineRule="exact"/>
        <w:ind w:firstLine="800" w:firstLineChars="250"/>
        <w:jc w:val="both"/>
        <w:textAlignment w:val="auto"/>
        <w:outlineLvl w:val="9"/>
        <w:rPr>
          <w:rFonts w:hint="eastAsia" w:ascii="仿宋" w:hAnsi="仿宋" w:eastAsia="仿宋" w:cs="Times New Roman"/>
          <w:color w:val="000000"/>
          <w:kern w:val="2"/>
          <w:sz w:val="32"/>
          <w:szCs w:val="32"/>
        </w:rPr>
      </w:pPr>
    </w:p>
    <w:p>
      <w:pPr>
        <w:pStyle w:val="4"/>
        <w:keepNext w:val="0"/>
        <w:keepLines w:val="0"/>
        <w:pageBreakBefore w:val="0"/>
        <w:shd w:val="clear" w:color="auto" w:fill="FFFFFF"/>
        <w:kinsoku/>
        <w:wordWrap/>
        <w:overflowPunct/>
        <w:topLinePunct w:val="0"/>
        <w:autoSpaceDN/>
        <w:bidi w:val="0"/>
        <w:adjustRightInd/>
        <w:snapToGrid/>
        <w:spacing w:before="0" w:beforeAutospacing="0" w:after="0" w:afterAutospacing="0" w:line="560" w:lineRule="exact"/>
        <w:jc w:val="both"/>
        <w:textAlignment w:val="auto"/>
        <w:outlineLvl w:val="9"/>
        <w:rPr>
          <w:rFonts w:hint="eastAsia" w:ascii="仿宋" w:hAnsi="仿宋" w:eastAsia="仿宋" w:cs="Times New Roman"/>
          <w:color w:val="000000"/>
          <w:kern w:val="2"/>
          <w:sz w:val="32"/>
          <w:szCs w:val="32"/>
        </w:rPr>
      </w:pPr>
    </w:p>
    <w:p>
      <w:pPr>
        <w:pStyle w:val="4"/>
        <w:keepNext w:val="0"/>
        <w:keepLines w:val="0"/>
        <w:pageBreakBefore w:val="0"/>
        <w:shd w:val="clear" w:color="auto" w:fill="FFFFFF"/>
        <w:kinsoku/>
        <w:wordWrap/>
        <w:overflowPunct/>
        <w:topLinePunct w:val="0"/>
        <w:autoSpaceDN/>
        <w:bidi w:val="0"/>
        <w:adjustRightInd/>
        <w:snapToGrid/>
        <w:spacing w:before="0" w:beforeAutospacing="0" w:after="0" w:afterAutospacing="0" w:line="560" w:lineRule="exact"/>
        <w:jc w:val="both"/>
        <w:textAlignment w:val="auto"/>
        <w:outlineLvl w:val="9"/>
        <w:rPr>
          <w:rFonts w:hint="eastAsia" w:ascii="仿宋" w:hAnsi="仿宋" w:eastAsia="仿宋" w:cs="Times New Roman"/>
          <w:color w:val="000000"/>
          <w:kern w:val="2"/>
          <w:sz w:val="32"/>
          <w:szCs w:val="32"/>
        </w:rPr>
      </w:pPr>
    </w:p>
    <w:p>
      <w:pPr>
        <w:pStyle w:val="4"/>
        <w:keepNext w:val="0"/>
        <w:keepLines w:val="0"/>
        <w:pageBreakBefore w:val="0"/>
        <w:shd w:val="clear" w:color="auto" w:fill="FFFFFF"/>
        <w:kinsoku/>
        <w:wordWrap/>
        <w:overflowPunct/>
        <w:topLinePunct w:val="0"/>
        <w:autoSpaceDN/>
        <w:bidi w:val="0"/>
        <w:adjustRightInd/>
        <w:snapToGrid/>
        <w:spacing w:before="0" w:beforeAutospacing="0" w:after="0" w:afterAutospacing="0" w:line="560" w:lineRule="exact"/>
        <w:jc w:val="both"/>
        <w:textAlignment w:val="auto"/>
        <w:outlineLvl w:val="9"/>
        <w:rPr>
          <w:rFonts w:hint="eastAsia" w:ascii="仿宋" w:hAnsi="仿宋" w:eastAsia="仿宋" w:cs="Times New Roman"/>
          <w:color w:val="000000"/>
          <w:kern w:val="2"/>
          <w:sz w:val="32"/>
          <w:szCs w:val="32"/>
        </w:rPr>
      </w:pPr>
    </w:p>
    <w:p>
      <w:pPr>
        <w:pStyle w:val="4"/>
        <w:keepNext w:val="0"/>
        <w:keepLines w:val="0"/>
        <w:pageBreakBefore w:val="0"/>
        <w:shd w:val="clear" w:color="auto" w:fill="FFFFFF"/>
        <w:kinsoku/>
        <w:wordWrap/>
        <w:overflowPunct/>
        <w:topLinePunct w:val="0"/>
        <w:autoSpaceDN/>
        <w:bidi w:val="0"/>
        <w:adjustRightInd/>
        <w:snapToGrid/>
        <w:spacing w:before="0" w:beforeAutospacing="0" w:after="0" w:afterAutospacing="0" w:line="560" w:lineRule="exact"/>
        <w:jc w:val="both"/>
        <w:textAlignment w:val="auto"/>
        <w:outlineLvl w:val="9"/>
        <w:rPr>
          <w:rFonts w:hint="eastAsia" w:ascii="仿宋" w:hAnsi="仿宋" w:eastAsia="仿宋" w:cs="Times New Roman"/>
          <w:color w:val="000000"/>
          <w:kern w:val="2"/>
          <w:sz w:val="32"/>
          <w:szCs w:val="32"/>
        </w:rPr>
      </w:pPr>
    </w:p>
    <w:p>
      <w:pPr>
        <w:spacing w:line="480" w:lineRule="exact"/>
        <w:rPr>
          <w:rFonts w:hint="eastAsia" w:ascii="黑体" w:hAnsi="黑体" w:eastAsia="黑体"/>
          <w:sz w:val="32"/>
          <w:szCs w:val="32"/>
        </w:rPr>
      </w:pPr>
    </w:p>
    <w:p>
      <w:pPr>
        <w:spacing w:line="480" w:lineRule="exact"/>
        <w:rPr>
          <w:rFonts w:ascii="黑体" w:hAnsi="黑体" w:eastAsia="黑体"/>
          <w:sz w:val="32"/>
          <w:szCs w:val="32"/>
        </w:rPr>
      </w:pPr>
      <w:r>
        <w:rPr>
          <w:rFonts w:hint="eastAsia" w:ascii="黑体" w:hAnsi="黑体" w:eastAsia="黑体"/>
          <w:sz w:val="32"/>
          <w:szCs w:val="32"/>
        </w:rPr>
        <w:t>附件：</w:t>
      </w:r>
    </w:p>
    <w:p>
      <w:pPr>
        <w:spacing w:line="480" w:lineRule="exact"/>
        <w:jc w:val="center"/>
        <w:rPr>
          <w:rFonts w:ascii="方正小标宋简体" w:eastAsia="方正小标宋简体"/>
          <w:bCs/>
          <w:w w:val="90"/>
          <w:sz w:val="44"/>
          <w:szCs w:val="44"/>
        </w:rPr>
      </w:pPr>
      <w:r>
        <w:rPr>
          <w:rFonts w:hint="eastAsia" w:ascii="方正小标宋简体" w:eastAsia="方正小标宋简体"/>
          <w:bCs/>
          <w:w w:val="90"/>
          <w:sz w:val="44"/>
          <w:szCs w:val="44"/>
        </w:rPr>
        <w:t>201</w:t>
      </w:r>
      <w:r>
        <w:rPr>
          <w:rFonts w:hint="eastAsia" w:ascii="方正小标宋简体" w:eastAsia="方正小标宋简体"/>
          <w:bCs/>
          <w:w w:val="90"/>
          <w:sz w:val="44"/>
          <w:szCs w:val="44"/>
          <w:lang w:val="en-US" w:eastAsia="zh-CN"/>
        </w:rPr>
        <w:t>8</w:t>
      </w:r>
      <w:r>
        <w:rPr>
          <w:rFonts w:hint="eastAsia" w:ascii="方正小标宋简体" w:eastAsia="方正小标宋简体"/>
          <w:bCs/>
          <w:w w:val="90"/>
          <w:sz w:val="44"/>
          <w:szCs w:val="44"/>
        </w:rPr>
        <w:t>年度部门整体支出绩效自评指标计分表</w:t>
      </w:r>
    </w:p>
    <w:p>
      <w:pPr>
        <w:spacing w:line="80" w:lineRule="exact"/>
        <w:rPr>
          <w:rFonts w:ascii="仿宋_GB2312"/>
        </w:rPr>
      </w:pPr>
    </w:p>
    <w:tbl>
      <w:tblPr>
        <w:tblStyle w:val="5"/>
        <w:tblW w:w="8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7"/>
        <w:gridCol w:w="570"/>
        <w:gridCol w:w="703"/>
        <w:gridCol w:w="446"/>
        <w:gridCol w:w="2976"/>
        <w:gridCol w:w="3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blHeader/>
        </w:trPr>
        <w:tc>
          <w:tcPr>
            <w:tcW w:w="547" w:type="dxa"/>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bCs/>
                <w:szCs w:val="21"/>
              </w:rPr>
            </w:pPr>
            <w:r>
              <w:rPr>
                <w:rFonts w:hint="eastAsia" w:asciiTheme="majorEastAsia" w:hAnsiTheme="majorEastAsia" w:eastAsiaTheme="majorEastAsia"/>
                <w:bCs/>
                <w:szCs w:val="21"/>
              </w:rPr>
              <w:t>一级</w:t>
            </w:r>
            <w:r>
              <w:rPr>
                <w:rFonts w:hint="eastAsia" w:asciiTheme="majorEastAsia" w:hAnsiTheme="majorEastAsia" w:eastAsiaTheme="majorEastAsia"/>
                <w:bCs/>
                <w:szCs w:val="21"/>
              </w:rPr>
              <w:br w:type="textWrapping"/>
            </w:r>
            <w:r>
              <w:rPr>
                <w:rFonts w:hint="eastAsia" w:asciiTheme="majorEastAsia" w:hAnsiTheme="majorEastAsia" w:eastAsiaTheme="majorEastAsia"/>
                <w:bCs/>
                <w:szCs w:val="21"/>
              </w:rPr>
              <w:t>指标</w:t>
            </w:r>
          </w:p>
        </w:tc>
        <w:tc>
          <w:tcPr>
            <w:tcW w:w="570" w:type="dxa"/>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bCs/>
                <w:szCs w:val="21"/>
              </w:rPr>
            </w:pPr>
            <w:r>
              <w:rPr>
                <w:rFonts w:hint="eastAsia" w:asciiTheme="majorEastAsia" w:hAnsiTheme="majorEastAsia" w:eastAsiaTheme="majorEastAsia"/>
                <w:bCs/>
                <w:szCs w:val="21"/>
              </w:rPr>
              <w:t>二级指标</w:t>
            </w:r>
          </w:p>
        </w:tc>
        <w:tc>
          <w:tcPr>
            <w:tcW w:w="703" w:type="dxa"/>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bCs/>
                <w:szCs w:val="21"/>
              </w:rPr>
            </w:pPr>
            <w:r>
              <w:rPr>
                <w:rFonts w:hint="eastAsia" w:asciiTheme="majorEastAsia" w:hAnsiTheme="majorEastAsia" w:eastAsiaTheme="majorEastAsia"/>
                <w:bCs/>
                <w:szCs w:val="21"/>
              </w:rPr>
              <w:t>三级指标</w:t>
            </w:r>
          </w:p>
        </w:tc>
        <w:tc>
          <w:tcPr>
            <w:tcW w:w="446" w:type="dxa"/>
            <w:tcMar>
              <w:top w:w="10" w:type="dxa"/>
              <w:left w:w="10" w:type="dxa"/>
              <w:bottom w:w="0" w:type="dxa"/>
              <w:right w:w="10" w:type="dxa"/>
            </w:tcMar>
            <w:vAlign w:val="center"/>
          </w:tcPr>
          <w:p>
            <w:pPr>
              <w:spacing w:line="240" w:lineRule="exact"/>
              <w:jc w:val="center"/>
              <w:rPr>
                <w:rFonts w:asciiTheme="majorEastAsia" w:hAnsiTheme="majorEastAsia" w:eastAsiaTheme="majorEastAsia"/>
                <w:bCs/>
                <w:szCs w:val="21"/>
              </w:rPr>
            </w:pPr>
            <w:r>
              <w:rPr>
                <w:rFonts w:hint="eastAsia" w:asciiTheme="majorEastAsia" w:hAnsiTheme="majorEastAsia" w:eastAsiaTheme="majorEastAsia"/>
                <w:bCs/>
                <w:szCs w:val="21"/>
              </w:rPr>
              <w:t>自评分</w:t>
            </w:r>
          </w:p>
        </w:tc>
        <w:tc>
          <w:tcPr>
            <w:tcW w:w="2976" w:type="dxa"/>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bCs/>
                <w:szCs w:val="21"/>
              </w:rPr>
            </w:pPr>
            <w:r>
              <w:rPr>
                <w:rFonts w:hint="eastAsia" w:asciiTheme="majorEastAsia" w:hAnsiTheme="majorEastAsia" w:eastAsiaTheme="majorEastAsia"/>
                <w:bCs/>
                <w:szCs w:val="21"/>
              </w:rPr>
              <w:t>指标解释</w:t>
            </w:r>
          </w:p>
        </w:tc>
        <w:tc>
          <w:tcPr>
            <w:tcW w:w="3721" w:type="dxa"/>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bCs/>
                <w:szCs w:val="21"/>
              </w:rPr>
            </w:pPr>
            <w:r>
              <w:rPr>
                <w:rFonts w:hint="eastAsia" w:asciiTheme="majorEastAsia" w:hAnsiTheme="majorEastAsia" w:eastAsiaTheme="majorEastAsia"/>
                <w:bCs/>
                <w:szCs w:val="21"/>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47" w:type="dxa"/>
            <w:vMerge w:val="restart"/>
            <w:shd w:val="clear" w:color="auto" w:fill="auto"/>
            <w:tcMar>
              <w:top w:w="10" w:type="dxa"/>
              <w:left w:w="10" w:type="dxa"/>
              <w:bottom w:w="0" w:type="dxa"/>
              <w:right w:w="10" w:type="dxa"/>
            </w:tcMar>
            <w:textDirection w:val="tbRlV"/>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投   入（20分）</w:t>
            </w:r>
          </w:p>
        </w:tc>
        <w:tc>
          <w:tcPr>
            <w:tcW w:w="570" w:type="dxa"/>
            <w:vMerge w:val="restart"/>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目标</w:t>
            </w:r>
            <w:r>
              <w:rPr>
                <w:rFonts w:hint="eastAsia" w:asciiTheme="majorEastAsia" w:hAnsiTheme="majorEastAsia" w:eastAsiaTheme="majorEastAsia"/>
                <w:szCs w:val="21"/>
              </w:rPr>
              <w:br w:type="textWrapping"/>
            </w:r>
            <w:r>
              <w:rPr>
                <w:rFonts w:hint="eastAsia" w:asciiTheme="majorEastAsia" w:hAnsiTheme="majorEastAsia" w:eastAsiaTheme="majorEastAsia"/>
                <w:szCs w:val="21"/>
              </w:rPr>
              <w:t>设定（5分）</w:t>
            </w:r>
          </w:p>
        </w:tc>
        <w:tc>
          <w:tcPr>
            <w:tcW w:w="703" w:type="dxa"/>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绩效目标合理性（2分）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2</w:t>
            </w:r>
          </w:p>
        </w:tc>
        <w:tc>
          <w:tcPr>
            <w:tcW w:w="2976" w:type="dxa"/>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部门所设立的整体绩效目标依据是否充分，是否符合客观实际，用以反映和考核部门整体绩效目标与部门履职、年度工作任务的相符性情况。</w:t>
            </w:r>
          </w:p>
        </w:tc>
        <w:tc>
          <w:tcPr>
            <w:tcW w:w="3721" w:type="dxa"/>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asciiTheme="majorEastAsia" w:hAnsiTheme="majorEastAsia" w:eastAsiaTheme="majorEastAsia"/>
                <w:szCs w:val="21"/>
              </w:rPr>
              <w:t>①符合国家法律法规、国民经济和社会发展总体规划计1分；②符合部门“三定”方案确定的职责计0.5分；③是否符合部门制定的中长期实施规划计0.5分。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Theme="majorEastAsia" w:hAnsiTheme="majorEastAsia" w:eastAsiaTheme="majorEastAsia"/>
                <w:szCs w:val="21"/>
              </w:rPr>
            </w:pPr>
          </w:p>
        </w:tc>
        <w:tc>
          <w:tcPr>
            <w:tcW w:w="570" w:type="dxa"/>
            <w:vMerge w:val="continue"/>
            <w:vAlign w:val="center"/>
          </w:tcPr>
          <w:p>
            <w:pPr>
              <w:spacing w:line="240" w:lineRule="exact"/>
              <w:jc w:val="center"/>
              <w:rPr>
                <w:rFonts w:asciiTheme="majorEastAsia" w:hAnsiTheme="majorEastAsia" w:eastAsiaTheme="majorEastAsia"/>
                <w:szCs w:val="21"/>
              </w:rPr>
            </w:pPr>
          </w:p>
        </w:tc>
        <w:tc>
          <w:tcPr>
            <w:tcW w:w="703" w:type="dxa"/>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绩效指标明确性（3分）</w:t>
            </w:r>
          </w:p>
        </w:tc>
        <w:tc>
          <w:tcPr>
            <w:tcW w:w="446" w:type="dxa"/>
            <w:tcMar>
              <w:top w:w="10" w:type="dxa"/>
              <w:left w:w="10" w:type="dxa"/>
              <w:bottom w:w="0" w:type="dxa"/>
              <w:right w:w="10" w:type="dxa"/>
            </w:tcMar>
            <w:vAlign w:val="center"/>
          </w:tcPr>
          <w:p>
            <w:pPr>
              <w:tabs>
                <w:tab w:val="left" w:pos="2604"/>
              </w:tabs>
              <w:spacing w:line="240" w:lineRule="exact"/>
              <w:jc w:val="center"/>
              <w:rPr>
                <w:rFonts w:hint="default"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3</w:t>
            </w:r>
          </w:p>
        </w:tc>
        <w:tc>
          <w:tcPr>
            <w:tcW w:w="2976" w:type="dxa"/>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部门依据整体绩效目标所设定的绩效指标是否清晰、细化、可衡量，用以反映和考核部门整体绩效目标的明细化情况。</w:t>
            </w:r>
          </w:p>
        </w:tc>
        <w:tc>
          <w:tcPr>
            <w:tcW w:w="3721" w:type="dxa"/>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asciiTheme="majorEastAsia" w:hAnsiTheme="majorEastAsia" w:eastAsiaTheme="majorEastAsia"/>
                <w:szCs w:val="21"/>
              </w:rPr>
              <w:t>①将部门整体的绩效目标细化分解为具体的工作任务计1分；②通过清晰、可衡量的指标值予以体现计0.5分。③与部门年度的任务数或计划数相对应计0.5分；④与本年度部门预算资金相匹配计1分。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Theme="majorEastAsia" w:hAnsiTheme="majorEastAsia" w:eastAsiaTheme="majorEastAsia"/>
                <w:szCs w:val="21"/>
              </w:rPr>
            </w:pPr>
          </w:p>
        </w:tc>
        <w:tc>
          <w:tcPr>
            <w:tcW w:w="570" w:type="dxa"/>
            <w:vMerge w:val="restart"/>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预算</w:t>
            </w:r>
            <w:r>
              <w:rPr>
                <w:rFonts w:hint="eastAsia" w:asciiTheme="majorEastAsia" w:hAnsiTheme="majorEastAsia" w:eastAsiaTheme="majorEastAsia"/>
                <w:szCs w:val="21"/>
              </w:rPr>
              <w:br w:type="textWrapping"/>
            </w:r>
            <w:r>
              <w:rPr>
                <w:rFonts w:hint="eastAsia" w:asciiTheme="majorEastAsia" w:hAnsiTheme="majorEastAsia" w:eastAsiaTheme="majorEastAsia"/>
                <w:szCs w:val="21"/>
              </w:rPr>
              <w:t>配置（15分）</w:t>
            </w:r>
          </w:p>
        </w:tc>
        <w:tc>
          <w:tcPr>
            <w:tcW w:w="703" w:type="dxa"/>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在职人员控制率（5分）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5</w:t>
            </w:r>
          </w:p>
        </w:tc>
        <w:tc>
          <w:tcPr>
            <w:tcW w:w="2976" w:type="dxa"/>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部门本年度实际在职人员数与编制数的比率，用以反映和考核部门对人员成本的控制程度。</w:t>
            </w:r>
          </w:p>
        </w:tc>
        <w:tc>
          <w:tcPr>
            <w:tcW w:w="3721" w:type="dxa"/>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asciiTheme="majorEastAsia" w:hAnsiTheme="majorEastAsia" w:eastAsiaTheme="majorEastAsia"/>
                <w:szCs w:val="21"/>
              </w:rPr>
              <w:t>在职人员控制率=（在职人员数/编制数）×100%小于或等于1计5分，否则按比例计分。在职人员数：部门实际在职人数，以财政部确定的部门决算编制口径为准。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Theme="majorEastAsia" w:hAnsiTheme="majorEastAsia" w:eastAsiaTheme="majorEastAsia"/>
                <w:szCs w:val="21"/>
              </w:rPr>
            </w:pPr>
          </w:p>
        </w:tc>
        <w:tc>
          <w:tcPr>
            <w:tcW w:w="570" w:type="dxa"/>
            <w:vMerge w:val="continue"/>
            <w:vAlign w:val="center"/>
          </w:tcPr>
          <w:p>
            <w:pPr>
              <w:spacing w:line="240" w:lineRule="exact"/>
              <w:jc w:val="center"/>
              <w:rPr>
                <w:rFonts w:asciiTheme="majorEastAsia" w:hAnsiTheme="majorEastAsia" w:eastAsiaTheme="majorEastAsia"/>
                <w:szCs w:val="21"/>
              </w:rPr>
            </w:pPr>
          </w:p>
        </w:tc>
        <w:tc>
          <w:tcPr>
            <w:tcW w:w="703" w:type="dxa"/>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“三公经费”</w:t>
            </w:r>
          </w:p>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变动率（5分）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5</w:t>
            </w:r>
          </w:p>
        </w:tc>
        <w:tc>
          <w:tcPr>
            <w:tcW w:w="2976" w:type="dxa"/>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部门本年度“三公经费”预算数与上年度“三公经费”预算数的变动比率，用以反映和考核部门对控制重点行政成本的努力程度。</w:t>
            </w:r>
          </w:p>
        </w:tc>
        <w:tc>
          <w:tcPr>
            <w:tcW w:w="3721" w:type="dxa"/>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asciiTheme="majorEastAsia" w:hAnsiTheme="majorEastAsia" w:eastAsiaTheme="majorEastAsia"/>
                <w:szCs w:val="21"/>
              </w:rPr>
              <w:t>“三公经费”变动率=[（本年度“三公经费”总额-上年度“三公经费”总额）/上年度“三公经费”总额]×100%。下降的计5分，增加的按比例扣减。“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Theme="majorEastAsia" w:hAnsiTheme="majorEastAsia" w:eastAsiaTheme="majorEastAsia"/>
                <w:szCs w:val="21"/>
              </w:rPr>
            </w:pPr>
          </w:p>
        </w:tc>
        <w:tc>
          <w:tcPr>
            <w:tcW w:w="570" w:type="dxa"/>
            <w:vMerge w:val="continue"/>
            <w:vAlign w:val="center"/>
          </w:tcPr>
          <w:p>
            <w:pPr>
              <w:spacing w:line="240" w:lineRule="exact"/>
              <w:jc w:val="center"/>
              <w:rPr>
                <w:rFonts w:asciiTheme="majorEastAsia" w:hAnsiTheme="majorEastAsia" w:eastAsiaTheme="majorEastAsia"/>
                <w:szCs w:val="21"/>
              </w:rPr>
            </w:pPr>
          </w:p>
        </w:tc>
        <w:tc>
          <w:tcPr>
            <w:tcW w:w="703" w:type="dxa"/>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重点支出安排率（5分）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5</w:t>
            </w:r>
          </w:p>
        </w:tc>
        <w:tc>
          <w:tcPr>
            <w:tcW w:w="2976" w:type="dxa"/>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部门本年度预算安排的重点项目支出与部门项目总支出的比率，用以反映和考核部门对履行主要职责或完成重点任务的保障程度。</w:t>
            </w:r>
          </w:p>
        </w:tc>
        <w:tc>
          <w:tcPr>
            <w:tcW w:w="3721" w:type="dxa"/>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asciiTheme="majorEastAsia" w:hAnsiTheme="majorEastAsia" w:eastAsiaTheme="majorEastAsia"/>
                <w:szCs w:val="21"/>
              </w:rPr>
              <w:t>重点支出安排率=（重点项目支出/项目总支出）×100%。实际得分=支出安排率*5分。重点项目支出：部门年度预算安排的，与本部门履职和发展密切相关、具有明显社会和经济影响、党委政府关心或社会比较关注的项目支出总额。项目总支出：部门年度预算安排的项目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47" w:type="dxa"/>
            <w:vMerge w:val="restart"/>
            <w:shd w:val="clear" w:color="auto" w:fill="auto"/>
            <w:tcMar>
              <w:top w:w="10" w:type="dxa"/>
              <w:left w:w="10" w:type="dxa"/>
              <w:bottom w:w="0" w:type="dxa"/>
              <w:right w:w="10" w:type="dxa"/>
            </w:tcMar>
            <w:textDirection w:val="tbRlV"/>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过             程（30分）</w:t>
            </w:r>
          </w:p>
        </w:tc>
        <w:tc>
          <w:tcPr>
            <w:tcW w:w="570" w:type="dxa"/>
            <w:vMerge w:val="restart"/>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预算</w:t>
            </w:r>
            <w:r>
              <w:rPr>
                <w:rFonts w:hint="eastAsia" w:asciiTheme="majorEastAsia" w:hAnsiTheme="majorEastAsia" w:eastAsiaTheme="majorEastAsia"/>
                <w:szCs w:val="21"/>
              </w:rPr>
              <w:br w:type="textWrapping"/>
            </w:r>
            <w:r>
              <w:rPr>
                <w:rFonts w:hint="eastAsia" w:asciiTheme="majorEastAsia" w:hAnsiTheme="majorEastAsia" w:eastAsiaTheme="majorEastAsia"/>
                <w:szCs w:val="21"/>
              </w:rPr>
              <w:t>执行</w:t>
            </w:r>
          </w:p>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（20分）</w:t>
            </w:r>
          </w:p>
        </w:tc>
        <w:tc>
          <w:tcPr>
            <w:tcW w:w="703" w:type="dxa"/>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预算完成率（4分）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4</w:t>
            </w:r>
          </w:p>
        </w:tc>
        <w:tc>
          <w:tcPr>
            <w:tcW w:w="2976" w:type="dxa"/>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部门本年度预算完成数与预算数的比率，用以反映和考核部门预算完成程度。</w:t>
            </w:r>
          </w:p>
        </w:tc>
        <w:tc>
          <w:tcPr>
            <w:tcW w:w="3721" w:type="dxa"/>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asciiTheme="majorEastAsia" w:hAnsiTheme="majorEastAsia" w:eastAsiaTheme="majorEastAsia"/>
                <w:szCs w:val="21"/>
              </w:rPr>
              <w:t>预算完成率=（预算完成数/预算数）×100%。完成年初预算计4分，未完成年初预算按比例扣减，预算完成数：部门本年度实际完成的预算数。预算数：财政部门批复的本年度部门预算数。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Theme="majorEastAsia" w:hAnsiTheme="majorEastAsia" w:eastAsiaTheme="majorEastAsia"/>
                <w:szCs w:val="21"/>
              </w:rPr>
            </w:pPr>
          </w:p>
        </w:tc>
        <w:tc>
          <w:tcPr>
            <w:tcW w:w="570" w:type="dxa"/>
            <w:vMerge w:val="continue"/>
            <w:vAlign w:val="center"/>
          </w:tcPr>
          <w:p>
            <w:pPr>
              <w:spacing w:line="240" w:lineRule="exact"/>
              <w:jc w:val="center"/>
              <w:rPr>
                <w:rFonts w:asciiTheme="majorEastAsia" w:hAnsiTheme="majorEastAsia" w:eastAsiaTheme="majorEastAsia"/>
                <w:szCs w:val="21"/>
              </w:rPr>
            </w:pPr>
          </w:p>
        </w:tc>
        <w:tc>
          <w:tcPr>
            <w:tcW w:w="703" w:type="dxa"/>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预算调整率（2分）</w:t>
            </w:r>
          </w:p>
        </w:tc>
        <w:tc>
          <w:tcPr>
            <w:tcW w:w="446" w:type="dxa"/>
            <w:tcMar>
              <w:top w:w="10" w:type="dxa"/>
              <w:left w:w="10" w:type="dxa"/>
              <w:bottom w:w="0" w:type="dxa"/>
              <w:right w:w="10" w:type="dxa"/>
            </w:tcMar>
            <w:vAlign w:val="center"/>
          </w:tcPr>
          <w:p>
            <w:pPr>
              <w:tabs>
                <w:tab w:val="left" w:pos="2604"/>
              </w:tabs>
              <w:spacing w:line="240" w:lineRule="exact"/>
              <w:jc w:val="center"/>
              <w:rPr>
                <w:rFonts w:hint="default"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2</w:t>
            </w:r>
          </w:p>
        </w:tc>
        <w:tc>
          <w:tcPr>
            <w:tcW w:w="2976" w:type="dxa"/>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部门本年度预算调整数与预算数的比率，用以反映和考核部门预算的调整程度。</w:t>
            </w:r>
          </w:p>
        </w:tc>
        <w:tc>
          <w:tcPr>
            <w:tcW w:w="3721" w:type="dxa"/>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asciiTheme="majorEastAsia" w:hAnsiTheme="majorEastAsia" w:eastAsiaTheme="majorEastAsia"/>
                <w:szCs w:val="21"/>
              </w:rPr>
              <w:t>预算调整率=（预算调整数/预算数）×100%。未调整的计2分，调整了的除特殊原因外按比例扣减。预算调整数：部门在本年度内涉及预算的追加、追减或结构调整的资金总和（因落实国家政策、发生不可抗力、上级部门或同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Theme="majorEastAsia" w:hAnsiTheme="majorEastAsia" w:eastAsiaTheme="majorEastAsia"/>
                <w:szCs w:val="21"/>
              </w:rPr>
            </w:pPr>
          </w:p>
        </w:tc>
        <w:tc>
          <w:tcPr>
            <w:tcW w:w="570" w:type="dxa"/>
            <w:vMerge w:val="continue"/>
            <w:vAlign w:val="center"/>
          </w:tcPr>
          <w:p>
            <w:pPr>
              <w:spacing w:line="240" w:lineRule="exact"/>
              <w:jc w:val="center"/>
              <w:rPr>
                <w:rFonts w:asciiTheme="majorEastAsia" w:hAnsiTheme="majorEastAsia" w:eastAsiaTheme="majorEastAsia"/>
                <w:szCs w:val="21"/>
              </w:rPr>
            </w:pPr>
          </w:p>
        </w:tc>
        <w:tc>
          <w:tcPr>
            <w:tcW w:w="703" w:type="dxa"/>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支付进度率（2分）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1</w:t>
            </w:r>
          </w:p>
        </w:tc>
        <w:tc>
          <w:tcPr>
            <w:tcW w:w="2976" w:type="dxa"/>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部门实际支付进度与既定支付进度的比率，用以反映和考核部门预算执行的及时性和均衡性程度。</w:t>
            </w:r>
          </w:p>
        </w:tc>
        <w:tc>
          <w:tcPr>
            <w:tcW w:w="3721" w:type="dxa"/>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asciiTheme="majorEastAsia" w:hAnsiTheme="majorEastAsia" w:eastAsiaTheme="majorEastAsia"/>
                <w:szCs w:val="21"/>
              </w:rPr>
              <w:t>支付进度率=（实际支付进度/既定支付进度）×100%。完成年终进度的计1分，按季度完成预算进度的计1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47" w:type="dxa"/>
            <w:vMerge w:val="continue"/>
            <w:shd w:val="clear" w:color="auto" w:fill="auto"/>
            <w:tcMar>
              <w:top w:w="10" w:type="dxa"/>
              <w:left w:w="10" w:type="dxa"/>
              <w:bottom w:w="0" w:type="dxa"/>
              <w:right w:w="10" w:type="dxa"/>
            </w:tcMar>
            <w:textDirection w:val="tbRlV"/>
            <w:vAlign w:val="center"/>
          </w:tcPr>
          <w:p>
            <w:pPr>
              <w:spacing w:line="240" w:lineRule="exact"/>
              <w:jc w:val="center"/>
              <w:rPr>
                <w:rFonts w:asciiTheme="majorEastAsia" w:hAnsiTheme="majorEastAsia" w:eastAsiaTheme="majorEastAsia"/>
                <w:szCs w:val="21"/>
              </w:rPr>
            </w:pPr>
          </w:p>
        </w:tc>
        <w:tc>
          <w:tcPr>
            <w:tcW w:w="570" w:type="dxa"/>
            <w:vMerge w:val="continue"/>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p>
        </w:tc>
        <w:tc>
          <w:tcPr>
            <w:tcW w:w="703" w:type="dxa"/>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结转结余控制率（4分）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3</w:t>
            </w:r>
          </w:p>
        </w:tc>
        <w:tc>
          <w:tcPr>
            <w:tcW w:w="2976" w:type="dxa"/>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部门本年度结转结余总额与上年结转结余总额增减比例，用以反映和考核部门对存量资金的实际控制程度。</w:t>
            </w:r>
          </w:p>
        </w:tc>
        <w:tc>
          <w:tcPr>
            <w:tcW w:w="3721" w:type="dxa"/>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asciiTheme="majorEastAsia" w:hAnsiTheme="majorEastAsia" w:eastAsiaTheme="majorEastAsia"/>
                <w:szCs w:val="21"/>
              </w:rPr>
              <w:t>结转结余控制率=（本年结转结余总额-上年结转结余总额）/上年结转结余总额×100%。低于15%的计4分，每超过5个百分点扣1分，扣完为止。结转结余总额：部门本年度的结转资金与结余资金之和（以决算数为准）。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Theme="majorEastAsia" w:hAnsiTheme="majorEastAsia" w:eastAsiaTheme="majorEastAsia"/>
                <w:szCs w:val="21"/>
              </w:rPr>
            </w:pPr>
          </w:p>
        </w:tc>
        <w:tc>
          <w:tcPr>
            <w:tcW w:w="570" w:type="dxa"/>
            <w:vMerge w:val="continue"/>
            <w:vAlign w:val="center"/>
          </w:tcPr>
          <w:p>
            <w:pPr>
              <w:spacing w:line="240" w:lineRule="exact"/>
              <w:jc w:val="center"/>
              <w:rPr>
                <w:rFonts w:asciiTheme="majorEastAsia" w:hAnsiTheme="majorEastAsia" w:eastAsiaTheme="majorEastAsia"/>
                <w:szCs w:val="21"/>
              </w:rPr>
            </w:pPr>
          </w:p>
        </w:tc>
        <w:tc>
          <w:tcPr>
            <w:tcW w:w="703" w:type="dxa"/>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公用经费</w:t>
            </w:r>
          </w:p>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控制率（2分）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0</w:t>
            </w:r>
          </w:p>
        </w:tc>
        <w:tc>
          <w:tcPr>
            <w:tcW w:w="2976" w:type="dxa"/>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部门本年度实际支出的公用经费总额与预算安排的公用经费总额的比率，用以反映和考核部门对机构运转成本的实际控制程度。</w:t>
            </w:r>
          </w:p>
        </w:tc>
        <w:tc>
          <w:tcPr>
            <w:tcW w:w="3721" w:type="dxa"/>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asciiTheme="majorEastAsia" w:hAnsiTheme="majorEastAsia" w:eastAsiaTheme="majorEastAsia"/>
                <w:szCs w:val="21"/>
              </w:rPr>
              <w:t>公用经费控制率=（实际支出公用经费总额/预算安排公用经费总额）×100%。为100%的计2分，每超过1个百分点扣0.1分，扣完为止。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47" w:type="dxa"/>
            <w:vMerge w:val="continue"/>
            <w:shd w:val="clear" w:color="auto" w:fill="auto"/>
            <w:vAlign w:val="center"/>
          </w:tcPr>
          <w:p>
            <w:pPr>
              <w:spacing w:line="240" w:lineRule="exact"/>
              <w:jc w:val="center"/>
              <w:rPr>
                <w:rFonts w:asciiTheme="majorEastAsia" w:hAnsiTheme="majorEastAsia" w:eastAsiaTheme="majorEastAsia"/>
                <w:szCs w:val="21"/>
              </w:rPr>
            </w:pPr>
          </w:p>
        </w:tc>
        <w:tc>
          <w:tcPr>
            <w:tcW w:w="570" w:type="dxa"/>
            <w:vMerge w:val="continue"/>
            <w:vAlign w:val="center"/>
          </w:tcPr>
          <w:p>
            <w:pPr>
              <w:spacing w:line="240" w:lineRule="exact"/>
              <w:jc w:val="center"/>
              <w:rPr>
                <w:rFonts w:asciiTheme="majorEastAsia" w:hAnsiTheme="majorEastAsia" w:eastAsiaTheme="majorEastAsia"/>
                <w:szCs w:val="21"/>
              </w:rPr>
            </w:pPr>
          </w:p>
        </w:tc>
        <w:tc>
          <w:tcPr>
            <w:tcW w:w="703" w:type="dxa"/>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“三公经费”控制率（2分）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2</w:t>
            </w:r>
          </w:p>
        </w:tc>
        <w:tc>
          <w:tcPr>
            <w:tcW w:w="2976" w:type="dxa"/>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部门本年度“三公经费”实际支出数与预算安排数的比率，用以反映和考核部门对“三公经费”的实际控制程度。</w:t>
            </w:r>
          </w:p>
        </w:tc>
        <w:tc>
          <w:tcPr>
            <w:tcW w:w="3721" w:type="dxa"/>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asciiTheme="majorEastAsia" w:hAnsiTheme="majorEastAsia" w:eastAsiaTheme="majorEastAsia"/>
                <w:szCs w:val="21"/>
              </w:rPr>
              <w:t>“三公经费”控制率=（“三公经费”实际支出数/“三公经费”预算安排数）×100%。为100%的计2分，每超过1个百分点扣0.5分，扣完为止。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Theme="majorEastAsia" w:hAnsiTheme="majorEastAsia" w:eastAsiaTheme="majorEastAsia"/>
                <w:szCs w:val="21"/>
              </w:rPr>
            </w:pPr>
          </w:p>
        </w:tc>
        <w:tc>
          <w:tcPr>
            <w:tcW w:w="570" w:type="dxa"/>
            <w:vMerge w:val="continue"/>
            <w:vAlign w:val="center"/>
          </w:tcPr>
          <w:p>
            <w:pPr>
              <w:spacing w:line="240" w:lineRule="exact"/>
              <w:jc w:val="center"/>
              <w:rPr>
                <w:rFonts w:asciiTheme="majorEastAsia" w:hAnsiTheme="majorEastAsia" w:eastAsiaTheme="majorEastAsia"/>
                <w:szCs w:val="21"/>
              </w:rPr>
            </w:pPr>
          </w:p>
        </w:tc>
        <w:tc>
          <w:tcPr>
            <w:tcW w:w="703" w:type="dxa"/>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政府采购</w:t>
            </w:r>
          </w:p>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执行率（4分）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4</w:t>
            </w:r>
          </w:p>
        </w:tc>
        <w:tc>
          <w:tcPr>
            <w:tcW w:w="2976" w:type="dxa"/>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部门本年度实际政府采购金额与年初政府采购预算的比率，用以反映和考核部门政府采购预算执行情况。</w:t>
            </w:r>
          </w:p>
        </w:tc>
        <w:tc>
          <w:tcPr>
            <w:tcW w:w="3721" w:type="dxa"/>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asciiTheme="majorEastAsia" w:hAnsiTheme="majorEastAsia" w:eastAsiaTheme="majorEastAsia"/>
                <w:szCs w:val="21"/>
              </w:rPr>
              <w:t>政府采购执行率=（实际政府采购金额/政府采购预算数）×100%，为100%的计2分，每低于1个百分点扣0.5分，扣完为止；政府采购预算：采购机关根据事业发展计划和行政任务编制的、并经过规定程序批准的年度政府采购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Theme="majorEastAsia" w:hAnsiTheme="majorEastAsia" w:eastAsiaTheme="majorEastAsia"/>
                <w:szCs w:val="21"/>
              </w:rPr>
            </w:pPr>
          </w:p>
        </w:tc>
        <w:tc>
          <w:tcPr>
            <w:tcW w:w="570" w:type="dxa"/>
            <w:vMerge w:val="restart"/>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预算</w:t>
            </w:r>
          </w:p>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管理</w:t>
            </w:r>
          </w:p>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（5分）</w:t>
            </w:r>
          </w:p>
        </w:tc>
        <w:tc>
          <w:tcPr>
            <w:tcW w:w="703" w:type="dxa"/>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管理制度</w:t>
            </w:r>
          </w:p>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健全性（2分）</w:t>
            </w:r>
          </w:p>
        </w:tc>
        <w:tc>
          <w:tcPr>
            <w:tcW w:w="446" w:type="dxa"/>
            <w:tcMar>
              <w:top w:w="10" w:type="dxa"/>
              <w:left w:w="10" w:type="dxa"/>
              <w:bottom w:w="0" w:type="dxa"/>
              <w:right w:w="10" w:type="dxa"/>
            </w:tcMar>
            <w:vAlign w:val="center"/>
          </w:tcPr>
          <w:p>
            <w:pPr>
              <w:tabs>
                <w:tab w:val="left" w:pos="2604"/>
              </w:tabs>
              <w:spacing w:line="240" w:lineRule="exact"/>
              <w:jc w:val="center"/>
              <w:rPr>
                <w:rFonts w:hint="default"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2</w:t>
            </w:r>
          </w:p>
        </w:tc>
        <w:tc>
          <w:tcPr>
            <w:tcW w:w="2976" w:type="dxa"/>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部门为加强预算管理、规范财务行为而制定的管理制度是否健全完整，用以反映和考核部门预算管理制度对完成主要职责或促进事业发展的保障情况。</w:t>
            </w:r>
          </w:p>
        </w:tc>
        <w:tc>
          <w:tcPr>
            <w:tcW w:w="3721" w:type="dxa"/>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asciiTheme="majorEastAsia" w:hAnsiTheme="majorEastAsia" w:eastAsiaTheme="majorEastAsia"/>
                <w:szCs w:val="21"/>
              </w:rPr>
              <w:t>已制定或具有预算资金管理办法、内部财务管理制度、会计核算制度等管理制度计1分；相关管理制度合法、合规、完整计0.5分；相关管理制度得到有效执行计0.5分。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47" w:type="dxa"/>
            <w:vMerge w:val="continue"/>
            <w:shd w:val="clear" w:color="auto" w:fill="auto"/>
            <w:vAlign w:val="center"/>
          </w:tcPr>
          <w:p>
            <w:pPr>
              <w:spacing w:line="240" w:lineRule="exact"/>
              <w:jc w:val="center"/>
              <w:rPr>
                <w:rFonts w:asciiTheme="majorEastAsia" w:hAnsiTheme="majorEastAsia" w:eastAsiaTheme="majorEastAsia"/>
                <w:szCs w:val="21"/>
              </w:rPr>
            </w:pPr>
          </w:p>
        </w:tc>
        <w:tc>
          <w:tcPr>
            <w:tcW w:w="570" w:type="dxa"/>
            <w:vMerge w:val="continue"/>
            <w:vAlign w:val="center"/>
          </w:tcPr>
          <w:p>
            <w:pPr>
              <w:spacing w:line="240" w:lineRule="exact"/>
              <w:jc w:val="center"/>
              <w:rPr>
                <w:rFonts w:asciiTheme="majorEastAsia" w:hAnsiTheme="majorEastAsia" w:eastAsiaTheme="majorEastAsia"/>
                <w:szCs w:val="21"/>
              </w:rPr>
            </w:pPr>
          </w:p>
        </w:tc>
        <w:tc>
          <w:tcPr>
            <w:tcW w:w="703" w:type="dxa"/>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资金使用</w:t>
            </w:r>
          </w:p>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合规性（1分）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1</w:t>
            </w:r>
          </w:p>
        </w:tc>
        <w:tc>
          <w:tcPr>
            <w:tcW w:w="2976" w:type="dxa"/>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部门使用预算资金是否符合相关的预算财务管理制度的规定，用以反映和考核部门预算资金的规范运行情况。</w:t>
            </w:r>
          </w:p>
        </w:tc>
        <w:tc>
          <w:tcPr>
            <w:tcW w:w="3721" w:type="dxa"/>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asciiTheme="majorEastAsia" w:hAnsiTheme="majorEastAsia" w:eastAsiaTheme="majorEastAsia"/>
                <w:szCs w:val="21"/>
              </w:rPr>
              <w:t>①符合国家财经法规和财务管理制度规定以及有关专项资金管理办法的规定计0.2分；②资金的拨付有完整的审批程序和手续计0.2分；③项目的重大开支经过评估论证计0.2分；④符合部门预算批复的用途计0.2分；⑤不存在截留、挤占、挪用、虚列支出等情况计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Theme="majorEastAsia" w:hAnsiTheme="majorEastAsia" w:eastAsiaTheme="majorEastAsia"/>
                <w:szCs w:val="21"/>
              </w:rPr>
            </w:pPr>
          </w:p>
        </w:tc>
        <w:tc>
          <w:tcPr>
            <w:tcW w:w="570" w:type="dxa"/>
            <w:vMerge w:val="continue"/>
            <w:vAlign w:val="center"/>
          </w:tcPr>
          <w:p>
            <w:pPr>
              <w:spacing w:line="240" w:lineRule="exact"/>
              <w:jc w:val="center"/>
              <w:rPr>
                <w:rFonts w:asciiTheme="majorEastAsia" w:hAnsiTheme="majorEastAsia" w:eastAsiaTheme="majorEastAsia"/>
                <w:szCs w:val="21"/>
              </w:rPr>
            </w:pPr>
          </w:p>
        </w:tc>
        <w:tc>
          <w:tcPr>
            <w:tcW w:w="703" w:type="dxa"/>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预决算信</w:t>
            </w:r>
          </w:p>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息公开性（1分）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1</w:t>
            </w:r>
          </w:p>
        </w:tc>
        <w:tc>
          <w:tcPr>
            <w:tcW w:w="2976" w:type="dxa"/>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部门是否按照政府信息公开有关规定公开相关预决算信息，用以反映和考核部门预决算管理的公开透明情况。</w:t>
            </w:r>
          </w:p>
        </w:tc>
        <w:tc>
          <w:tcPr>
            <w:tcW w:w="3721" w:type="dxa"/>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asciiTheme="majorEastAsia" w:hAnsiTheme="majorEastAsia" w:eastAsiaTheme="majorEastAsia"/>
                <w:szCs w:val="21"/>
              </w:rPr>
              <w:t>①按规定内容公开预决算信息计0.5分；②按规定时限公开预决算信息计0.5分。预决算信息是指与部门预算、执行、决算、监督、绩效等管理相关的信息。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Theme="majorEastAsia" w:hAnsiTheme="majorEastAsia" w:eastAsiaTheme="majorEastAsia"/>
                <w:szCs w:val="21"/>
              </w:rPr>
            </w:pPr>
          </w:p>
        </w:tc>
        <w:tc>
          <w:tcPr>
            <w:tcW w:w="570" w:type="dxa"/>
            <w:vMerge w:val="continue"/>
            <w:vAlign w:val="center"/>
          </w:tcPr>
          <w:p>
            <w:pPr>
              <w:spacing w:line="240" w:lineRule="exact"/>
              <w:jc w:val="center"/>
              <w:rPr>
                <w:rFonts w:asciiTheme="majorEastAsia" w:hAnsiTheme="majorEastAsia" w:eastAsiaTheme="majorEastAsia"/>
                <w:szCs w:val="21"/>
              </w:rPr>
            </w:pPr>
          </w:p>
        </w:tc>
        <w:tc>
          <w:tcPr>
            <w:tcW w:w="703" w:type="dxa"/>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基础信息</w:t>
            </w:r>
          </w:p>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完善性（1分）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1</w:t>
            </w:r>
          </w:p>
        </w:tc>
        <w:tc>
          <w:tcPr>
            <w:tcW w:w="2976" w:type="dxa"/>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部门基础信息是否完善，用以反映和考核基础信息对预算管理工作的支撑情况。</w:t>
            </w:r>
          </w:p>
        </w:tc>
        <w:tc>
          <w:tcPr>
            <w:tcW w:w="3721" w:type="dxa"/>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asciiTheme="majorEastAsia" w:hAnsiTheme="majorEastAsia" w:eastAsiaTheme="majorEastAsia"/>
                <w:szCs w:val="21"/>
              </w:rPr>
              <w:t>①基础数据信息和会计信息资料真实计0.4分；②基础数据信息和会计信息资料完整计0.3分；③基础数据信息和会计信息资料准确计0.3分。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47" w:type="dxa"/>
            <w:vMerge w:val="continue"/>
            <w:shd w:val="clear" w:color="auto" w:fill="auto"/>
            <w:tcMar>
              <w:top w:w="10" w:type="dxa"/>
              <w:left w:w="10" w:type="dxa"/>
              <w:bottom w:w="0" w:type="dxa"/>
              <w:right w:w="10" w:type="dxa"/>
            </w:tcMar>
            <w:textDirection w:val="tbRlV"/>
            <w:vAlign w:val="center"/>
          </w:tcPr>
          <w:p>
            <w:pPr>
              <w:spacing w:line="240" w:lineRule="exact"/>
              <w:jc w:val="center"/>
              <w:rPr>
                <w:rFonts w:asciiTheme="majorEastAsia" w:hAnsiTheme="majorEastAsia" w:eastAsiaTheme="majorEastAsia"/>
                <w:szCs w:val="21"/>
              </w:rPr>
            </w:pPr>
          </w:p>
        </w:tc>
        <w:tc>
          <w:tcPr>
            <w:tcW w:w="570" w:type="dxa"/>
            <w:vMerge w:val="restart"/>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资产</w:t>
            </w:r>
            <w:r>
              <w:rPr>
                <w:rFonts w:hint="eastAsia" w:asciiTheme="majorEastAsia" w:hAnsiTheme="majorEastAsia" w:eastAsiaTheme="majorEastAsia"/>
                <w:szCs w:val="21"/>
              </w:rPr>
              <w:br w:type="textWrapping"/>
            </w:r>
            <w:r>
              <w:rPr>
                <w:rFonts w:hint="eastAsia" w:asciiTheme="majorEastAsia" w:hAnsiTheme="majorEastAsia" w:eastAsiaTheme="majorEastAsia"/>
                <w:szCs w:val="21"/>
              </w:rPr>
              <w:t>管理</w:t>
            </w:r>
          </w:p>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（5分）</w:t>
            </w:r>
          </w:p>
        </w:tc>
        <w:tc>
          <w:tcPr>
            <w:tcW w:w="703" w:type="dxa"/>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管理制度</w:t>
            </w:r>
          </w:p>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健全性（2分）</w:t>
            </w:r>
          </w:p>
        </w:tc>
        <w:tc>
          <w:tcPr>
            <w:tcW w:w="446" w:type="dxa"/>
            <w:tcMar>
              <w:top w:w="10" w:type="dxa"/>
              <w:left w:w="10" w:type="dxa"/>
              <w:bottom w:w="0" w:type="dxa"/>
              <w:right w:w="10" w:type="dxa"/>
            </w:tcMar>
            <w:vAlign w:val="center"/>
          </w:tcPr>
          <w:p>
            <w:pPr>
              <w:tabs>
                <w:tab w:val="left" w:pos="2604"/>
              </w:tabs>
              <w:spacing w:line="240" w:lineRule="exact"/>
              <w:jc w:val="center"/>
              <w:rPr>
                <w:rFonts w:hint="default"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1.5</w:t>
            </w:r>
          </w:p>
        </w:tc>
        <w:tc>
          <w:tcPr>
            <w:tcW w:w="2976" w:type="dxa"/>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部门为加强资产管理、规范资产管理行为而制定的管理制度是否健全完整，用以反映和考核部门资产管理制度对完成主要职责或促进社会发展的保障情况。</w:t>
            </w:r>
          </w:p>
        </w:tc>
        <w:tc>
          <w:tcPr>
            <w:tcW w:w="3721" w:type="dxa"/>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asciiTheme="majorEastAsia" w:hAnsiTheme="majorEastAsia" w:eastAsiaTheme="majorEastAsia"/>
                <w:szCs w:val="21"/>
              </w:rPr>
              <w:t>①制定或具有资产管理制度计1分；②相关资金管理制度合法、合规、完整计0.5分；③相关资产管理制度得到有效执行计0.5分。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47" w:type="dxa"/>
            <w:vMerge w:val="continue"/>
            <w:shd w:val="clear" w:color="auto" w:fill="auto"/>
            <w:vAlign w:val="center"/>
          </w:tcPr>
          <w:p>
            <w:pPr>
              <w:spacing w:line="240" w:lineRule="exact"/>
              <w:jc w:val="center"/>
              <w:rPr>
                <w:rFonts w:asciiTheme="majorEastAsia" w:hAnsiTheme="majorEastAsia" w:eastAsiaTheme="majorEastAsia"/>
                <w:szCs w:val="21"/>
              </w:rPr>
            </w:pPr>
          </w:p>
        </w:tc>
        <w:tc>
          <w:tcPr>
            <w:tcW w:w="570" w:type="dxa"/>
            <w:vMerge w:val="continue"/>
            <w:shd w:val="clear" w:color="auto" w:fill="auto"/>
            <w:vAlign w:val="center"/>
          </w:tcPr>
          <w:p>
            <w:pPr>
              <w:spacing w:line="240" w:lineRule="exact"/>
              <w:jc w:val="center"/>
              <w:rPr>
                <w:rFonts w:asciiTheme="majorEastAsia" w:hAnsiTheme="majorEastAsia" w:eastAsiaTheme="majorEastAsia"/>
                <w:szCs w:val="21"/>
              </w:rPr>
            </w:pPr>
          </w:p>
        </w:tc>
        <w:tc>
          <w:tcPr>
            <w:tcW w:w="703" w:type="dxa"/>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资产管理</w:t>
            </w:r>
          </w:p>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安全性（2分）</w:t>
            </w:r>
          </w:p>
        </w:tc>
        <w:tc>
          <w:tcPr>
            <w:tcW w:w="446" w:type="dxa"/>
            <w:tcMar>
              <w:top w:w="10" w:type="dxa"/>
              <w:left w:w="10" w:type="dxa"/>
              <w:bottom w:w="0" w:type="dxa"/>
              <w:right w:w="10" w:type="dxa"/>
            </w:tcMar>
            <w:vAlign w:val="center"/>
          </w:tcPr>
          <w:p>
            <w:pPr>
              <w:tabs>
                <w:tab w:val="left" w:pos="761"/>
                <w:tab w:val="left" w:pos="2604"/>
              </w:tabs>
              <w:spacing w:line="240" w:lineRule="exact"/>
              <w:jc w:val="center"/>
              <w:rPr>
                <w:rFonts w:hint="default"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1.5</w:t>
            </w:r>
          </w:p>
        </w:tc>
        <w:tc>
          <w:tcPr>
            <w:tcW w:w="2976" w:type="dxa"/>
            <w:shd w:val="clear" w:color="auto" w:fill="auto"/>
            <w:tcMar>
              <w:top w:w="10" w:type="dxa"/>
              <w:left w:w="10" w:type="dxa"/>
              <w:bottom w:w="0" w:type="dxa"/>
              <w:right w:w="10" w:type="dxa"/>
            </w:tcMar>
            <w:vAlign w:val="center"/>
          </w:tcPr>
          <w:p>
            <w:pPr>
              <w:tabs>
                <w:tab w:val="left" w:pos="761"/>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部门的资产是否保存完整、使用合规、配置合理、处置规范、收入及时足额上缴，用以反映和考核部门资产安全运行情况。</w:t>
            </w:r>
          </w:p>
        </w:tc>
        <w:tc>
          <w:tcPr>
            <w:tcW w:w="3721" w:type="dxa"/>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asciiTheme="majorEastAsia" w:hAnsiTheme="majorEastAsia" w:eastAsiaTheme="majorEastAsia"/>
                <w:szCs w:val="21"/>
              </w:rPr>
              <w:t>①资产保存完整计0.4分；②资产配置合理计0.4分；③资产处置规范计0.4分；④资产账务管理合规、帐实相符计0.4分；⑤资产有偿使用及处置收入及时足额上缴计0.4分。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47" w:type="dxa"/>
            <w:vMerge w:val="continue"/>
            <w:shd w:val="clear" w:color="auto" w:fill="auto"/>
            <w:vAlign w:val="center"/>
          </w:tcPr>
          <w:p>
            <w:pPr>
              <w:spacing w:line="240" w:lineRule="exact"/>
              <w:jc w:val="center"/>
              <w:rPr>
                <w:rFonts w:asciiTheme="majorEastAsia" w:hAnsiTheme="majorEastAsia" w:eastAsiaTheme="majorEastAsia"/>
                <w:szCs w:val="21"/>
              </w:rPr>
            </w:pPr>
          </w:p>
        </w:tc>
        <w:tc>
          <w:tcPr>
            <w:tcW w:w="570" w:type="dxa"/>
            <w:vMerge w:val="continue"/>
            <w:shd w:val="clear" w:color="auto" w:fill="auto"/>
            <w:vAlign w:val="center"/>
          </w:tcPr>
          <w:p>
            <w:pPr>
              <w:spacing w:line="240" w:lineRule="exact"/>
              <w:jc w:val="center"/>
              <w:rPr>
                <w:rFonts w:asciiTheme="majorEastAsia" w:hAnsiTheme="majorEastAsia" w:eastAsiaTheme="majorEastAsia"/>
                <w:szCs w:val="21"/>
              </w:rPr>
            </w:pPr>
          </w:p>
        </w:tc>
        <w:tc>
          <w:tcPr>
            <w:tcW w:w="703" w:type="dxa"/>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固定资产</w:t>
            </w:r>
          </w:p>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利用率（1分）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1</w:t>
            </w:r>
          </w:p>
        </w:tc>
        <w:tc>
          <w:tcPr>
            <w:tcW w:w="2976" w:type="dxa"/>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部门实际在用固定资产总额与所有固定资产总额的比率，用以反映和考核部门固定资产使用效率程度。</w:t>
            </w:r>
          </w:p>
        </w:tc>
        <w:tc>
          <w:tcPr>
            <w:tcW w:w="3721" w:type="dxa"/>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asciiTheme="majorEastAsia" w:hAnsiTheme="majorEastAsia" w:eastAsiaTheme="majorEastAsia"/>
                <w:szCs w:val="21"/>
              </w:rPr>
              <w:t>固定资产利用率=（实际在用固定资产总额/所有固定资产总额）×100%。利用率为100%的计1分，每降1个百分点扣0.1分，扣完为止。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47" w:type="dxa"/>
            <w:vMerge w:val="restart"/>
            <w:shd w:val="clear" w:color="auto" w:fill="auto"/>
            <w:tcMar>
              <w:top w:w="10" w:type="dxa"/>
              <w:left w:w="10" w:type="dxa"/>
              <w:bottom w:w="0" w:type="dxa"/>
              <w:right w:w="10" w:type="dxa"/>
            </w:tcMar>
            <w:textDirection w:val="tbRlV"/>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产   出（30分）</w:t>
            </w:r>
          </w:p>
        </w:tc>
        <w:tc>
          <w:tcPr>
            <w:tcW w:w="570" w:type="dxa"/>
            <w:vMerge w:val="restart"/>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职责</w:t>
            </w:r>
            <w:r>
              <w:rPr>
                <w:rFonts w:hint="eastAsia" w:asciiTheme="majorEastAsia" w:hAnsiTheme="majorEastAsia" w:eastAsiaTheme="majorEastAsia"/>
                <w:szCs w:val="21"/>
              </w:rPr>
              <w:br w:type="textWrapping"/>
            </w:r>
            <w:r>
              <w:rPr>
                <w:rFonts w:hint="eastAsia" w:asciiTheme="majorEastAsia" w:hAnsiTheme="majorEastAsia" w:eastAsiaTheme="majorEastAsia"/>
                <w:szCs w:val="21"/>
              </w:rPr>
              <w:t>履行</w:t>
            </w:r>
          </w:p>
        </w:tc>
        <w:tc>
          <w:tcPr>
            <w:tcW w:w="703" w:type="dxa"/>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实际完成率（8分）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8</w:t>
            </w:r>
          </w:p>
        </w:tc>
        <w:tc>
          <w:tcPr>
            <w:tcW w:w="2976" w:type="dxa"/>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部门履行职责而实际完成工作数与计划工作数的比率，用以反映和考核部门履职工作任务目标的实现程度。</w:t>
            </w:r>
          </w:p>
        </w:tc>
        <w:tc>
          <w:tcPr>
            <w:tcW w:w="3721" w:type="dxa"/>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asciiTheme="majorEastAsia" w:hAnsiTheme="majorEastAsia" w:eastAsiaTheme="majorEastAsia"/>
                <w:szCs w:val="21"/>
              </w:rPr>
              <w:t>实际完成率得分=完成市委市政府绩效考核得分或上级主管部门考核指标得分/指标分值*8分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Theme="majorEastAsia" w:hAnsiTheme="majorEastAsia" w:eastAsiaTheme="majorEastAsia"/>
                <w:szCs w:val="21"/>
              </w:rPr>
            </w:pPr>
          </w:p>
        </w:tc>
        <w:tc>
          <w:tcPr>
            <w:tcW w:w="570" w:type="dxa"/>
            <w:vMerge w:val="continue"/>
            <w:vAlign w:val="center"/>
          </w:tcPr>
          <w:p>
            <w:pPr>
              <w:spacing w:line="240" w:lineRule="exact"/>
              <w:jc w:val="center"/>
              <w:rPr>
                <w:rFonts w:asciiTheme="majorEastAsia" w:hAnsiTheme="majorEastAsia" w:eastAsiaTheme="majorEastAsia"/>
                <w:szCs w:val="21"/>
              </w:rPr>
            </w:pPr>
          </w:p>
        </w:tc>
        <w:tc>
          <w:tcPr>
            <w:tcW w:w="703" w:type="dxa"/>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完成及时率（4分）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4</w:t>
            </w:r>
          </w:p>
        </w:tc>
        <w:tc>
          <w:tcPr>
            <w:tcW w:w="2976" w:type="dxa"/>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部门在规定时限内及时完成的实际工作数与计划工作数的比率,用以反映和考核部门履职时效目标的实现程度。</w:t>
            </w:r>
          </w:p>
        </w:tc>
        <w:tc>
          <w:tcPr>
            <w:tcW w:w="3721" w:type="dxa"/>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asciiTheme="majorEastAsia" w:hAnsiTheme="majorEastAsia" w:eastAsiaTheme="majorEastAsia"/>
                <w:szCs w:val="21"/>
              </w:rPr>
              <w:t>完成及时率=（及时完成实际工作数/计划工作数）×100%。1-4季度各得1分</w:t>
            </w:r>
            <w:r>
              <w:rPr>
                <w:rFonts w:hint="eastAsia" w:asciiTheme="majorEastAsia" w:hAnsiTheme="majorEastAsia" w:eastAsiaTheme="majorEastAsia"/>
                <w:szCs w:val="21"/>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Theme="majorEastAsia" w:hAnsiTheme="majorEastAsia" w:eastAsiaTheme="majorEastAsia"/>
                <w:szCs w:val="21"/>
              </w:rPr>
            </w:pPr>
          </w:p>
        </w:tc>
        <w:tc>
          <w:tcPr>
            <w:tcW w:w="570" w:type="dxa"/>
            <w:vMerge w:val="continue"/>
            <w:vAlign w:val="center"/>
          </w:tcPr>
          <w:p>
            <w:pPr>
              <w:spacing w:line="240" w:lineRule="exact"/>
              <w:jc w:val="center"/>
              <w:rPr>
                <w:rFonts w:asciiTheme="majorEastAsia" w:hAnsiTheme="majorEastAsia" w:eastAsiaTheme="majorEastAsia"/>
                <w:szCs w:val="21"/>
              </w:rPr>
            </w:pPr>
          </w:p>
        </w:tc>
        <w:tc>
          <w:tcPr>
            <w:tcW w:w="703" w:type="dxa"/>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质量达标率（8分）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7</w:t>
            </w:r>
          </w:p>
        </w:tc>
        <w:tc>
          <w:tcPr>
            <w:tcW w:w="2976" w:type="dxa"/>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达到质量标准（绩效标准值）的实际工作数与计划工作数的比率,用以反映和考核部门履职质量目标的实现程度。</w:t>
            </w:r>
          </w:p>
        </w:tc>
        <w:tc>
          <w:tcPr>
            <w:tcW w:w="3721" w:type="dxa"/>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asciiTheme="majorEastAsia" w:hAnsiTheme="majorEastAsia" w:eastAsiaTheme="majorEastAsia"/>
                <w:szCs w:val="21"/>
              </w:rPr>
              <w:t>质量达标率=（质量达标实际工作数/计划工作数）×100%。实际得分=达标率*8分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Theme="majorEastAsia" w:hAnsiTheme="majorEastAsia" w:eastAsiaTheme="majorEastAsia"/>
                <w:szCs w:val="21"/>
              </w:rPr>
            </w:pPr>
          </w:p>
        </w:tc>
        <w:tc>
          <w:tcPr>
            <w:tcW w:w="570" w:type="dxa"/>
            <w:vMerge w:val="continue"/>
            <w:vAlign w:val="center"/>
          </w:tcPr>
          <w:p>
            <w:pPr>
              <w:spacing w:line="240" w:lineRule="exact"/>
              <w:jc w:val="center"/>
              <w:rPr>
                <w:rFonts w:asciiTheme="majorEastAsia" w:hAnsiTheme="majorEastAsia" w:eastAsiaTheme="majorEastAsia"/>
                <w:szCs w:val="21"/>
              </w:rPr>
            </w:pPr>
          </w:p>
        </w:tc>
        <w:tc>
          <w:tcPr>
            <w:tcW w:w="703" w:type="dxa"/>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重点工作</w:t>
            </w:r>
          </w:p>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办结率（10分）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10</w:t>
            </w:r>
          </w:p>
        </w:tc>
        <w:tc>
          <w:tcPr>
            <w:tcW w:w="2976" w:type="dxa"/>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部门年度重点工作实际完成数与交办或下达数的比率，用以反映部门对重点工作的办理落实程度。</w:t>
            </w:r>
          </w:p>
        </w:tc>
        <w:tc>
          <w:tcPr>
            <w:tcW w:w="3721" w:type="dxa"/>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asciiTheme="majorEastAsia" w:hAnsiTheme="majorEastAsia" w:eastAsiaTheme="majorEastAsia"/>
                <w:szCs w:val="21"/>
              </w:rPr>
              <w:t>重点工作办结率=（重点工作实际完成数/交办或下达数）×100%。实际得分=办结率*10分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47" w:type="dxa"/>
            <w:vMerge w:val="restart"/>
            <w:shd w:val="clear" w:color="auto" w:fill="auto"/>
            <w:tcMar>
              <w:top w:w="10" w:type="dxa"/>
              <w:left w:w="10" w:type="dxa"/>
              <w:bottom w:w="0" w:type="dxa"/>
              <w:right w:w="10" w:type="dxa"/>
            </w:tcMar>
            <w:textDirection w:val="tbRlV"/>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效   果（20分）</w:t>
            </w:r>
          </w:p>
        </w:tc>
        <w:tc>
          <w:tcPr>
            <w:tcW w:w="570" w:type="dxa"/>
            <w:vMerge w:val="restart"/>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履职</w:t>
            </w:r>
            <w:r>
              <w:rPr>
                <w:rFonts w:hint="eastAsia" w:asciiTheme="majorEastAsia" w:hAnsiTheme="majorEastAsia" w:eastAsiaTheme="majorEastAsia"/>
                <w:szCs w:val="21"/>
              </w:rPr>
              <w:br w:type="textWrapping"/>
            </w:r>
            <w:r>
              <w:rPr>
                <w:rFonts w:hint="eastAsia" w:asciiTheme="majorEastAsia" w:hAnsiTheme="majorEastAsia" w:eastAsiaTheme="majorEastAsia"/>
                <w:szCs w:val="21"/>
              </w:rPr>
              <w:t>效益（20分）</w:t>
            </w:r>
          </w:p>
        </w:tc>
        <w:tc>
          <w:tcPr>
            <w:tcW w:w="703" w:type="dxa"/>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经济效益（5分）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5</w:t>
            </w:r>
          </w:p>
        </w:tc>
        <w:tc>
          <w:tcPr>
            <w:tcW w:w="2976" w:type="dxa"/>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部门履行职责对经济发展所带来的直接或间接影响。</w:t>
            </w:r>
          </w:p>
        </w:tc>
        <w:tc>
          <w:tcPr>
            <w:tcW w:w="3721" w:type="dxa"/>
            <w:vMerge w:val="restart"/>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cs="宋体" w:asciiTheme="majorEastAsia" w:hAnsiTheme="majorEastAsia" w:eastAsiaTheme="majorEastAsia"/>
                <w:kern w:val="0"/>
                <w:szCs w:val="21"/>
              </w:rPr>
              <w:t>按经济效益实现程度计算得分（5分）；按社会效益实现程度计算得分（5分）；按生态效益实现程度计算得分（5分）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Theme="majorEastAsia" w:hAnsiTheme="majorEastAsia" w:eastAsiaTheme="majorEastAsia"/>
                <w:szCs w:val="21"/>
              </w:rPr>
            </w:pPr>
          </w:p>
        </w:tc>
        <w:tc>
          <w:tcPr>
            <w:tcW w:w="570" w:type="dxa"/>
            <w:vMerge w:val="continue"/>
            <w:vAlign w:val="center"/>
          </w:tcPr>
          <w:p>
            <w:pPr>
              <w:spacing w:line="240" w:lineRule="exact"/>
              <w:jc w:val="center"/>
              <w:rPr>
                <w:rFonts w:asciiTheme="majorEastAsia" w:hAnsiTheme="majorEastAsia" w:eastAsiaTheme="majorEastAsia"/>
                <w:szCs w:val="21"/>
              </w:rPr>
            </w:pPr>
          </w:p>
        </w:tc>
        <w:tc>
          <w:tcPr>
            <w:tcW w:w="703" w:type="dxa"/>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社会效益（5分）</w:t>
            </w:r>
          </w:p>
        </w:tc>
        <w:tc>
          <w:tcPr>
            <w:tcW w:w="446" w:type="dxa"/>
            <w:vAlign w:val="center"/>
          </w:tcPr>
          <w:p>
            <w:pPr>
              <w:tabs>
                <w:tab w:val="left" w:pos="2604"/>
              </w:tabs>
              <w:spacing w:line="240" w:lineRule="exact"/>
              <w:jc w:val="center"/>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5</w:t>
            </w:r>
          </w:p>
        </w:tc>
        <w:tc>
          <w:tcPr>
            <w:tcW w:w="2976" w:type="dxa"/>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部门履行职责对社会发展所带来的直接或间接影响。</w:t>
            </w:r>
          </w:p>
        </w:tc>
        <w:tc>
          <w:tcPr>
            <w:tcW w:w="3721" w:type="dxa"/>
            <w:vMerge w:val="continue"/>
            <w:vAlign w:val="center"/>
          </w:tcPr>
          <w:p>
            <w:pPr>
              <w:spacing w:line="240" w:lineRule="exac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Theme="majorEastAsia" w:hAnsiTheme="majorEastAsia" w:eastAsiaTheme="majorEastAsia"/>
                <w:szCs w:val="21"/>
              </w:rPr>
            </w:pPr>
          </w:p>
        </w:tc>
        <w:tc>
          <w:tcPr>
            <w:tcW w:w="570" w:type="dxa"/>
            <w:vMerge w:val="continue"/>
            <w:vAlign w:val="center"/>
          </w:tcPr>
          <w:p>
            <w:pPr>
              <w:spacing w:line="240" w:lineRule="exact"/>
              <w:jc w:val="center"/>
              <w:rPr>
                <w:rFonts w:asciiTheme="majorEastAsia" w:hAnsiTheme="majorEastAsia" w:eastAsiaTheme="majorEastAsia"/>
                <w:szCs w:val="21"/>
              </w:rPr>
            </w:pPr>
          </w:p>
        </w:tc>
        <w:tc>
          <w:tcPr>
            <w:tcW w:w="703" w:type="dxa"/>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生态效益（5分）</w:t>
            </w:r>
          </w:p>
        </w:tc>
        <w:tc>
          <w:tcPr>
            <w:tcW w:w="446" w:type="dxa"/>
            <w:vAlign w:val="center"/>
          </w:tcPr>
          <w:p>
            <w:pPr>
              <w:tabs>
                <w:tab w:val="left" w:pos="2604"/>
              </w:tabs>
              <w:spacing w:line="240" w:lineRule="exact"/>
              <w:jc w:val="center"/>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5</w:t>
            </w:r>
          </w:p>
        </w:tc>
        <w:tc>
          <w:tcPr>
            <w:tcW w:w="2976" w:type="dxa"/>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部门履行职责对生态环境所带来的直接或间接影响。</w:t>
            </w:r>
          </w:p>
        </w:tc>
        <w:tc>
          <w:tcPr>
            <w:tcW w:w="3721" w:type="dxa"/>
            <w:vMerge w:val="continue"/>
            <w:vAlign w:val="center"/>
          </w:tcPr>
          <w:p>
            <w:pPr>
              <w:spacing w:line="240" w:lineRule="exac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Theme="majorEastAsia" w:hAnsiTheme="majorEastAsia" w:eastAsiaTheme="majorEastAsia"/>
                <w:szCs w:val="21"/>
              </w:rPr>
            </w:pPr>
          </w:p>
        </w:tc>
        <w:tc>
          <w:tcPr>
            <w:tcW w:w="570" w:type="dxa"/>
            <w:vMerge w:val="continue"/>
            <w:vAlign w:val="center"/>
          </w:tcPr>
          <w:p>
            <w:pPr>
              <w:spacing w:line="240" w:lineRule="exact"/>
              <w:jc w:val="center"/>
              <w:rPr>
                <w:rFonts w:asciiTheme="majorEastAsia" w:hAnsiTheme="majorEastAsia" w:eastAsiaTheme="majorEastAsia"/>
                <w:szCs w:val="21"/>
              </w:rPr>
            </w:pPr>
          </w:p>
        </w:tc>
        <w:tc>
          <w:tcPr>
            <w:tcW w:w="703" w:type="dxa"/>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社会公众</w:t>
            </w:r>
          </w:p>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或服务对</w:t>
            </w:r>
          </w:p>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象满意度（5分）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5</w:t>
            </w:r>
          </w:p>
        </w:tc>
        <w:tc>
          <w:tcPr>
            <w:tcW w:w="2976" w:type="dxa"/>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社会公众或部门的服务对象对部门履职效果的满意程度。</w:t>
            </w:r>
          </w:p>
        </w:tc>
        <w:tc>
          <w:tcPr>
            <w:tcW w:w="3721" w:type="dxa"/>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cs="宋体" w:asciiTheme="majorEastAsia" w:hAnsiTheme="majorEastAsia" w:eastAsiaTheme="majorEastAsia"/>
                <w:kern w:val="0"/>
                <w:szCs w:val="21"/>
              </w:rPr>
              <w:t>按收集到的服务对象的满意率计算得分（5分）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8963" w:type="dxa"/>
            <w:gridSpan w:val="6"/>
            <w:vAlign w:val="center"/>
          </w:tcPr>
          <w:p>
            <w:pPr>
              <w:spacing w:line="240" w:lineRule="exact"/>
              <w:jc w:val="right"/>
              <w:rPr>
                <w:rFonts w:hint="default" w:cs="宋体" w:asciiTheme="majorEastAsia" w:hAnsiTheme="majorEastAsia" w:eastAsiaTheme="majorEastAsia"/>
                <w:kern w:val="0"/>
                <w:szCs w:val="21"/>
                <w:lang w:val="en-US" w:eastAsia="zh-CN"/>
              </w:rPr>
            </w:pPr>
            <w:bookmarkStart w:id="0" w:name="_GoBack"/>
            <w:bookmarkEnd w:id="0"/>
            <w:r>
              <w:rPr>
                <w:rFonts w:hint="eastAsia" w:cs="宋体" w:asciiTheme="majorEastAsia" w:hAnsiTheme="majorEastAsia" w:eastAsiaTheme="majorEastAsia"/>
                <w:kern w:val="0"/>
                <w:szCs w:val="21"/>
                <w:lang w:val="en-US" w:eastAsia="zh-CN"/>
              </w:rPr>
              <w:t>总分：95分</w:t>
            </w:r>
          </w:p>
        </w:tc>
      </w:tr>
    </w:tbl>
    <w:p>
      <w:pPr>
        <w:pStyle w:val="4"/>
        <w:keepNext w:val="0"/>
        <w:keepLines w:val="0"/>
        <w:pageBreakBefore w:val="0"/>
        <w:shd w:val="clear" w:color="auto" w:fill="FFFFFF"/>
        <w:kinsoku/>
        <w:wordWrap/>
        <w:overflowPunct/>
        <w:topLinePunct w:val="0"/>
        <w:autoSpaceDN/>
        <w:bidi w:val="0"/>
        <w:adjustRightInd/>
        <w:snapToGrid/>
        <w:spacing w:before="0" w:beforeAutospacing="0" w:after="0" w:afterAutospacing="0" w:line="560" w:lineRule="exact"/>
        <w:ind w:firstLine="800" w:firstLineChars="250"/>
        <w:jc w:val="both"/>
        <w:textAlignment w:val="auto"/>
        <w:outlineLvl w:val="9"/>
        <w:rPr>
          <w:rFonts w:hint="eastAsia" w:ascii="仿宋" w:hAnsi="仿宋" w:eastAsia="仿宋" w:cs="Times New Roman"/>
          <w:color w:val="000000"/>
          <w:kern w:val="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220EEC"/>
    <w:rsid w:val="00631447"/>
    <w:rsid w:val="00CC2C23"/>
    <w:rsid w:val="01D46269"/>
    <w:rsid w:val="02F04CFD"/>
    <w:rsid w:val="03A85B89"/>
    <w:rsid w:val="041D3D4F"/>
    <w:rsid w:val="042B4A6F"/>
    <w:rsid w:val="053C4E58"/>
    <w:rsid w:val="063259CB"/>
    <w:rsid w:val="06DC73C9"/>
    <w:rsid w:val="088E44CE"/>
    <w:rsid w:val="09456569"/>
    <w:rsid w:val="0967641E"/>
    <w:rsid w:val="0A3E51A9"/>
    <w:rsid w:val="0B4F7C8B"/>
    <w:rsid w:val="0B8E03DE"/>
    <w:rsid w:val="0BAF7FB2"/>
    <w:rsid w:val="0C6C10C4"/>
    <w:rsid w:val="0E836590"/>
    <w:rsid w:val="11A435D3"/>
    <w:rsid w:val="13A31208"/>
    <w:rsid w:val="13DE665A"/>
    <w:rsid w:val="13EA3A60"/>
    <w:rsid w:val="171448F0"/>
    <w:rsid w:val="19426CC5"/>
    <w:rsid w:val="1AD21D93"/>
    <w:rsid w:val="1B220EEC"/>
    <w:rsid w:val="1B397FF0"/>
    <w:rsid w:val="215C0BB0"/>
    <w:rsid w:val="21B662E6"/>
    <w:rsid w:val="25407651"/>
    <w:rsid w:val="25671BEE"/>
    <w:rsid w:val="257D2913"/>
    <w:rsid w:val="291338A7"/>
    <w:rsid w:val="29494F4A"/>
    <w:rsid w:val="29E7788A"/>
    <w:rsid w:val="2D634B06"/>
    <w:rsid w:val="2DED52DE"/>
    <w:rsid w:val="33A771BF"/>
    <w:rsid w:val="33D54F79"/>
    <w:rsid w:val="34292C8E"/>
    <w:rsid w:val="36057680"/>
    <w:rsid w:val="36C61F87"/>
    <w:rsid w:val="37C933FF"/>
    <w:rsid w:val="38200265"/>
    <w:rsid w:val="3A5A67D5"/>
    <w:rsid w:val="3ADB1B28"/>
    <w:rsid w:val="3C240CC5"/>
    <w:rsid w:val="3EFC5E49"/>
    <w:rsid w:val="3FB9437F"/>
    <w:rsid w:val="3FEE54E6"/>
    <w:rsid w:val="43482F83"/>
    <w:rsid w:val="435F2E14"/>
    <w:rsid w:val="449C7199"/>
    <w:rsid w:val="4730634E"/>
    <w:rsid w:val="47A63543"/>
    <w:rsid w:val="49364417"/>
    <w:rsid w:val="4E4B02C6"/>
    <w:rsid w:val="52480F6C"/>
    <w:rsid w:val="54641587"/>
    <w:rsid w:val="54862EB9"/>
    <w:rsid w:val="54F26722"/>
    <w:rsid w:val="557D2231"/>
    <w:rsid w:val="56BC3E02"/>
    <w:rsid w:val="5AAB299C"/>
    <w:rsid w:val="5CB518DE"/>
    <w:rsid w:val="5CD7252E"/>
    <w:rsid w:val="5F097E24"/>
    <w:rsid w:val="60770A0B"/>
    <w:rsid w:val="60A934FE"/>
    <w:rsid w:val="61C14D75"/>
    <w:rsid w:val="62BB42D2"/>
    <w:rsid w:val="62FD1738"/>
    <w:rsid w:val="6303109E"/>
    <w:rsid w:val="635379D7"/>
    <w:rsid w:val="64AF7F1F"/>
    <w:rsid w:val="66352854"/>
    <w:rsid w:val="67185EE7"/>
    <w:rsid w:val="67D132C4"/>
    <w:rsid w:val="6BB608D4"/>
    <w:rsid w:val="6C2929C3"/>
    <w:rsid w:val="6C354D8F"/>
    <w:rsid w:val="6D535020"/>
    <w:rsid w:val="6FDC6615"/>
    <w:rsid w:val="703D66AF"/>
    <w:rsid w:val="71366FD6"/>
    <w:rsid w:val="719E2AD8"/>
    <w:rsid w:val="71D47228"/>
    <w:rsid w:val="7201240C"/>
    <w:rsid w:val="73EC6792"/>
    <w:rsid w:val="779A5C8F"/>
    <w:rsid w:val="7A830BD8"/>
    <w:rsid w:val="7A8740D4"/>
    <w:rsid w:val="7AAD2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w\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195</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2018-06-27T06:54:00Z</dcterms:created>
  <dc:creator>诚</dc:creator>
  <cp:lastModifiedBy>webUser</cp:lastModifiedBy>
  <cp:lastPrinted>2019-07-09T07:57:00Z</cp:lastPrinted>
  <dcterms:modified xsi:type="dcterms:W3CDTF">2019-07-10T02:47:54Z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