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ind w:left="0" w:right="0" w:firstLine="880" w:firstLineChars="200"/>
        <w:jc w:val="center"/>
        <w:textAlignment w:val="auto"/>
        <w:outlineLvl w:val="9"/>
        <w:rPr>
          <w:rFonts w:hint="eastAsia" w:ascii="黑体" w:hAnsi="黑体" w:eastAsia="黑体" w:cs="黑体"/>
          <w:b w:val="0"/>
          <w:bCs/>
          <w:color w:val="212121"/>
          <w:sz w:val="44"/>
          <w:szCs w:val="44"/>
        </w:rPr>
      </w:pPr>
      <w:r>
        <w:rPr>
          <w:rFonts w:hint="eastAsia" w:ascii="黑体" w:hAnsi="黑体" w:eastAsia="黑体" w:cs="黑体"/>
          <w:b w:val="0"/>
          <w:bCs/>
          <w:color w:val="212121"/>
          <w:sz w:val="44"/>
          <w:szCs w:val="44"/>
        </w:rPr>
        <w:t>赫山区</w:t>
      </w:r>
      <w:r>
        <w:rPr>
          <w:rFonts w:hint="eastAsia" w:ascii="黑体" w:hAnsi="黑体" w:eastAsia="黑体" w:cs="黑体"/>
          <w:b w:val="0"/>
          <w:bCs/>
          <w:color w:val="212121"/>
          <w:sz w:val="44"/>
          <w:szCs w:val="44"/>
          <w:lang w:eastAsia="zh-CN"/>
        </w:rPr>
        <w:t>供销社</w:t>
      </w:r>
    </w:p>
    <w:p>
      <w:pPr>
        <w:pStyle w:val="3"/>
        <w:keepNext w:val="0"/>
        <w:keepLines w:val="0"/>
        <w:pageBreakBefore w:val="0"/>
        <w:widowControl/>
        <w:kinsoku/>
        <w:wordWrap/>
        <w:overflowPunct/>
        <w:topLinePunct w:val="0"/>
        <w:autoSpaceDE/>
        <w:autoSpaceDN/>
        <w:bidi w:val="0"/>
        <w:adjustRightInd/>
        <w:snapToGrid/>
        <w:spacing w:line="33" w:lineRule="atLeast"/>
        <w:ind w:left="0" w:right="0" w:firstLine="880" w:firstLineChars="200"/>
        <w:jc w:val="center"/>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44"/>
          <w:szCs w:val="44"/>
          <w:lang w:val="en-US" w:eastAsia="zh-CN"/>
        </w:rPr>
        <w:t>2017年度</w:t>
      </w:r>
      <w:r>
        <w:rPr>
          <w:rFonts w:hint="eastAsia" w:ascii="黑体" w:hAnsi="黑体" w:eastAsia="黑体" w:cs="黑体"/>
          <w:b w:val="0"/>
          <w:bCs/>
          <w:sz w:val="44"/>
          <w:szCs w:val="44"/>
          <w:lang w:eastAsia="zh-CN"/>
        </w:rPr>
        <w:t>部门决算公开</w:t>
      </w:r>
    </w:p>
    <w:p>
      <w:pPr>
        <w:pStyle w:val="3"/>
        <w:keepNext w:val="0"/>
        <w:keepLines w:val="0"/>
        <w:pageBreakBefore w:val="0"/>
        <w:widowControl/>
        <w:kinsoku/>
        <w:wordWrap/>
        <w:overflowPunct/>
        <w:topLinePunct w:val="0"/>
        <w:autoSpaceDE/>
        <w:autoSpaceDN/>
        <w:bidi w:val="0"/>
        <w:adjustRightInd/>
        <w:snapToGrid/>
        <w:spacing w:line="33" w:lineRule="atLeast"/>
        <w:ind w:left="0" w:right="0" w:firstLine="560" w:firstLineChars="200"/>
        <w:jc w:val="center"/>
        <w:textAlignment w:val="auto"/>
        <w:outlineLvl w:val="9"/>
        <w:rPr>
          <w:rFonts w:hint="eastAsia" w:ascii="仿宋" w:hAnsi="仿宋" w:eastAsia="仿宋" w:cs="仿宋"/>
          <w:sz w:val="28"/>
          <w:szCs w:val="28"/>
          <w:lang w:eastAsia="zh-CN"/>
        </w:rPr>
      </w:pPr>
    </w:p>
    <w:p>
      <w:pPr>
        <w:widowControl/>
        <w:jc w:val="center"/>
        <w:rPr>
          <w:rFonts w:hint="eastAsia" w:ascii="仿宋_GB2312" w:eastAsia="仿宋_GB2312"/>
          <w:b/>
          <w:bCs/>
          <w:kern w:val="0"/>
          <w:sz w:val="30"/>
          <w:szCs w:val="30"/>
        </w:rPr>
      </w:pPr>
      <w:r>
        <w:rPr>
          <w:rFonts w:hint="eastAsia" w:ascii="仿宋_GB2312" w:eastAsia="仿宋_GB2312"/>
          <w:b/>
          <w:bCs/>
          <w:kern w:val="0"/>
          <w:sz w:val="44"/>
          <w:szCs w:val="44"/>
        </w:rPr>
        <w:t>目录</w:t>
      </w: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第一部分  </w:t>
      </w:r>
      <w:r>
        <w:rPr>
          <w:rFonts w:hint="eastAsia" w:ascii="仿宋_GB2312" w:hAnsi="方正小标宋_GBK" w:eastAsia="仿宋_GB2312" w:cs="方正小标宋_GBK"/>
          <w:b/>
          <w:bCs/>
          <w:sz w:val="32"/>
          <w:szCs w:val="32"/>
          <w:lang w:eastAsia="zh-CN"/>
        </w:rPr>
        <w:t>赫山区供销社</w:t>
      </w:r>
      <w:r>
        <w:rPr>
          <w:rFonts w:hint="eastAsia" w:ascii="仿宋_GB2312" w:eastAsia="仿宋_GB2312"/>
          <w:b/>
          <w:bCs/>
          <w:kern w:val="0"/>
          <w:sz w:val="32"/>
          <w:szCs w:val="32"/>
        </w:rPr>
        <w:t>单位概况</w:t>
      </w:r>
    </w:p>
    <w:p>
      <w:pPr>
        <w:widowControl/>
        <w:rPr>
          <w:rFonts w:hint="eastAsia" w:ascii="仿宋_GB2312" w:eastAsia="仿宋_GB2312"/>
          <w:bCs/>
          <w:kern w:val="0"/>
          <w:sz w:val="32"/>
          <w:szCs w:val="32"/>
        </w:rPr>
      </w:pPr>
      <w:r>
        <w:rPr>
          <w:rFonts w:hint="eastAsia" w:ascii="仿宋_GB2312" w:eastAsia="仿宋_GB2312"/>
          <w:bCs/>
          <w:kern w:val="0"/>
          <w:sz w:val="32"/>
          <w:szCs w:val="32"/>
        </w:rPr>
        <w:t>一、主要职能</w:t>
      </w:r>
    </w:p>
    <w:p>
      <w:pPr>
        <w:widowControl/>
        <w:rPr>
          <w:rFonts w:hint="eastAsia" w:ascii="仿宋_GB2312" w:eastAsia="仿宋_GB2312"/>
          <w:bCs/>
          <w:kern w:val="0"/>
          <w:sz w:val="32"/>
          <w:szCs w:val="32"/>
        </w:rPr>
      </w:pPr>
      <w:r>
        <w:rPr>
          <w:rFonts w:hint="eastAsia" w:ascii="仿宋_GB2312" w:eastAsia="仿宋_GB2312"/>
          <w:bCs/>
          <w:kern w:val="0"/>
          <w:sz w:val="32"/>
          <w:szCs w:val="32"/>
        </w:rPr>
        <w:t>二、部门决算单位构成</w:t>
      </w: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第二部分  </w:t>
      </w:r>
      <w:r>
        <w:rPr>
          <w:rFonts w:hint="eastAsia" w:ascii="仿宋_GB2312" w:hAnsi="方正小标宋_GBK" w:eastAsia="仿宋_GB2312" w:cs="方正小标宋_GBK"/>
          <w:b/>
          <w:bCs/>
          <w:sz w:val="32"/>
          <w:szCs w:val="32"/>
          <w:lang w:eastAsia="zh-CN"/>
        </w:rPr>
        <w:t>赫山区供销社</w:t>
      </w:r>
      <w:r>
        <w:rPr>
          <w:rFonts w:hint="eastAsia" w:ascii="仿宋_GB2312" w:eastAsia="仿宋_GB2312"/>
          <w:b/>
          <w:bCs/>
          <w:kern w:val="0"/>
          <w:sz w:val="32"/>
          <w:szCs w:val="32"/>
        </w:rPr>
        <w:t>单位2017年度部门决算表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一、收入支出决算总表</w:t>
      </w:r>
    </w:p>
    <w:p>
      <w:pPr>
        <w:widowControl/>
        <w:rPr>
          <w:rFonts w:hint="eastAsia" w:ascii="仿宋_GB2312" w:eastAsia="仿宋_GB2312"/>
          <w:bCs/>
          <w:kern w:val="0"/>
          <w:sz w:val="32"/>
          <w:szCs w:val="32"/>
        </w:rPr>
      </w:pPr>
      <w:r>
        <w:rPr>
          <w:rFonts w:hint="eastAsia" w:ascii="仿宋_GB2312" w:eastAsia="仿宋_GB2312"/>
          <w:bCs/>
          <w:kern w:val="0"/>
          <w:sz w:val="32"/>
          <w:szCs w:val="32"/>
        </w:rPr>
        <w:t>二、收入决算表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三、支出决算表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四、财政拨款收入支出决算总表</w:t>
      </w:r>
    </w:p>
    <w:p>
      <w:pPr>
        <w:widowControl/>
        <w:rPr>
          <w:rFonts w:hint="eastAsia" w:ascii="仿宋_GB2312" w:eastAsia="仿宋_GB2312"/>
          <w:bCs/>
          <w:kern w:val="0"/>
          <w:sz w:val="32"/>
          <w:szCs w:val="32"/>
        </w:rPr>
      </w:pPr>
      <w:r>
        <w:rPr>
          <w:rFonts w:hint="eastAsia" w:ascii="仿宋_GB2312" w:eastAsia="仿宋_GB2312"/>
          <w:bCs/>
          <w:kern w:val="0"/>
          <w:sz w:val="32"/>
          <w:szCs w:val="32"/>
        </w:rPr>
        <w:t>五、一般公共预算财政拨款支出决算表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六、一般公共预算财政拨款基本支出决算表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七、</w:t>
      </w:r>
      <w:r>
        <w:rPr>
          <w:rFonts w:hint="eastAsia" w:ascii="仿宋_GB2312" w:hAnsi="楷体" w:eastAsia="仿宋_GB2312" w:cs="楷体"/>
          <w:sz w:val="32"/>
        </w:rPr>
        <w:t>一般公共预算财政拨款“三公”经费支出决算表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八、政府性基金预算财政拨款收入支出决算表</w:t>
      </w: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第三部分  </w:t>
      </w:r>
      <w:r>
        <w:rPr>
          <w:rFonts w:hint="eastAsia" w:ascii="仿宋_GB2312" w:hAnsi="方正小标宋_GBK" w:eastAsia="仿宋_GB2312" w:cs="方正小标宋_GBK"/>
          <w:b/>
          <w:bCs/>
          <w:sz w:val="32"/>
          <w:szCs w:val="32"/>
          <w:lang w:eastAsia="zh-CN"/>
        </w:rPr>
        <w:t>赫山区供销社</w:t>
      </w:r>
      <w:r>
        <w:rPr>
          <w:rFonts w:hint="eastAsia" w:ascii="仿宋_GB2312" w:eastAsia="仿宋_GB2312"/>
          <w:b/>
          <w:bCs/>
          <w:kern w:val="0"/>
          <w:sz w:val="32"/>
          <w:szCs w:val="32"/>
        </w:rPr>
        <w:t>单位2017年度部门决算情况说明</w:t>
      </w:r>
    </w:p>
    <w:p>
      <w:pPr>
        <w:widowControl/>
        <w:rPr>
          <w:rFonts w:hint="eastAsia" w:ascii="仿宋_GB2312" w:eastAsia="仿宋_GB2312"/>
          <w:b/>
          <w:bCs/>
          <w:kern w:val="0"/>
          <w:sz w:val="32"/>
          <w:szCs w:val="32"/>
        </w:rPr>
      </w:pPr>
      <w:r>
        <w:rPr>
          <w:rFonts w:hint="eastAsia" w:ascii="仿宋_GB2312" w:eastAsia="仿宋_GB2312"/>
          <w:b/>
          <w:bCs/>
          <w:kern w:val="0"/>
          <w:sz w:val="32"/>
          <w:szCs w:val="32"/>
        </w:rPr>
        <w:t>第四部分  名词解释</w:t>
      </w: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p>
    <w:p>
      <w:pPr>
        <w:pStyle w:val="3"/>
        <w:keepNext w:val="0"/>
        <w:keepLines w:val="0"/>
        <w:pageBreakBefore w:val="0"/>
        <w:widowControl/>
        <w:kinsoku/>
        <w:wordWrap/>
        <w:overflowPunct/>
        <w:topLinePunct w:val="0"/>
        <w:autoSpaceDE/>
        <w:autoSpaceDN/>
        <w:bidi w:val="0"/>
        <w:adjustRightInd/>
        <w:snapToGrid/>
        <w:spacing w:line="33" w:lineRule="atLeast"/>
        <w:ind w:left="0" w:right="0"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color w:val="212121"/>
          <w:sz w:val="32"/>
          <w:szCs w:val="32"/>
          <w:lang w:val="en-US" w:eastAsia="zh-CN"/>
        </w:rPr>
        <w:t xml:space="preserve">第一部分  </w:t>
      </w:r>
      <w:r>
        <w:rPr>
          <w:rFonts w:hint="eastAsia" w:ascii="黑体" w:hAnsi="黑体" w:eastAsia="黑体" w:cs="黑体"/>
          <w:b/>
          <w:bCs/>
          <w:color w:val="212121"/>
          <w:sz w:val="32"/>
          <w:szCs w:val="32"/>
          <w:lang w:eastAsia="zh-CN"/>
        </w:rPr>
        <w:t>单位概况</w:t>
      </w:r>
    </w:p>
    <w:p>
      <w:pPr>
        <w:keepNext w:val="0"/>
        <w:keepLines w:val="0"/>
        <w:pageBreakBefore w:val="0"/>
        <w:kinsoku/>
        <w:wordWrap/>
        <w:overflowPunct/>
        <w:topLinePunct w:val="0"/>
        <w:autoSpaceDE/>
        <w:autoSpaceDN/>
        <w:bidi w:val="0"/>
        <w:adjustRightInd/>
        <w:snapToGrid/>
        <w:ind w:left="0" w:right="0" w:firstLine="643" w:firstLineChars="200"/>
        <w:textAlignment w:val="auto"/>
        <w:outlineLvl w:val="9"/>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一、主要职责</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赫山区</w:t>
      </w:r>
      <w:r>
        <w:rPr>
          <w:rFonts w:hint="eastAsia" w:ascii="仿宋" w:hAnsi="仿宋" w:eastAsia="仿宋" w:cs="仿宋"/>
          <w:color w:val="000000"/>
          <w:kern w:val="0"/>
          <w:sz w:val="32"/>
          <w:szCs w:val="32"/>
          <w:lang w:eastAsia="zh-CN"/>
        </w:rPr>
        <w:t>供销社为</w:t>
      </w:r>
      <w:r>
        <w:rPr>
          <w:rFonts w:hint="eastAsia" w:ascii="仿宋" w:hAnsi="仿宋" w:eastAsia="仿宋" w:cs="仿宋"/>
          <w:sz w:val="32"/>
          <w:szCs w:val="32"/>
        </w:rPr>
        <w:t>参照公务员管理的差额拨款单位，主要职责为指导农村合作经营规范发展，组织协调农业生产资料的供应和各项为农服务工作，授权承担重要农业生产资料，农副产品的储备和适时调控市场，协调有关部门关系，维护供销合作社组织及社有企业的合法权益</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ind w:left="0" w:right="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二、部门决算单位构成</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本单位只有部门本级，没有其他二级决算单位。</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本单位设办公室、人事股、财计股、资产管理股和合作指导股，定编27人，实有在职人员21人，离退休人员39人。</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ind w:left="0" w:right="0" w:firstLine="643" w:firstLineChars="200"/>
        <w:textAlignment w:val="auto"/>
        <w:outlineLvl w:val="9"/>
        <w:rPr>
          <w:rFonts w:hint="eastAsia" w:ascii="黑体" w:hAnsi="黑体" w:eastAsia="黑体" w:cs="黑体"/>
          <w:b/>
          <w:bCs/>
          <w:color w:val="212121"/>
          <w:sz w:val="32"/>
          <w:szCs w:val="32"/>
          <w:lang w:val="en-US" w:eastAsia="zh-CN"/>
        </w:rPr>
      </w:pPr>
      <w:r>
        <w:rPr>
          <w:rFonts w:hint="eastAsia" w:ascii="黑体" w:hAnsi="黑体" w:eastAsia="黑体" w:cs="黑体"/>
          <w:b/>
          <w:bCs/>
          <w:color w:val="212121"/>
          <w:sz w:val="32"/>
          <w:szCs w:val="32"/>
          <w:lang w:val="en-US" w:eastAsia="zh-CN"/>
        </w:rPr>
        <w:t xml:space="preserve"> 区供销社2017年度部门决算表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表1：收入支出决算总表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表2：收入决算表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表3：支出决算表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表4：财政拨款收入支出决算总表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表5：一般公共预算财政拨款收入支出决算表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表6：一般公共预算财政拨款基本支出决算表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表7：一般公共预算财政拨款“三公”经费支出决算表</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表8：政府性基金预算财政拨款收入支出决算表</w:t>
      </w:r>
    </w:p>
    <w:p>
      <w:pPr>
        <w:keepNext w:val="0"/>
        <w:keepLines w:val="0"/>
        <w:pageBreakBefore w:val="0"/>
        <w:numPr>
          <w:ilvl w:val="0"/>
          <w:numId w:val="0"/>
        </w:numPr>
        <w:kinsoku/>
        <w:wordWrap/>
        <w:overflowPunct/>
        <w:topLinePunct w:val="0"/>
        <w:autoSpaceDE/>
        <w:autoSpaceDN/>
        <w:bidi w:val="0"/>
        <w:adjustRightInd/>
        <w:snapToGrid/>
        <w:ind w:right="0" w:rightChars="0" w:firstLine="640"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Cs/>
          <w:kern w:val="0"/>
          <w:sz w:val="32"/>
          <w:szCs w:val="32"/>
        </w:rPr>
        <w:t>以上区</w:t>
      </w:r>
      <w:r>
        <w:rPr>
          <w:rFonts w:hint="eastAsia" w:ascii="仿宋" w:hAnsi="仿宋" w:eastAsia="仿宋" w:cs="仿宋"/>
          <w:bCs/>
          <w:kern w:val="0"/>
          <w:sz w:val="32"/>
          <w:szCs w:val="32"/>
          <w:lang w:eastAsia="zh-CN"/>
        </w:rPr>
        <w:t>供销社</w:t>
      </w:r>
      <w:r>
        <w:rPr>
          <w:rFonts w:hint="eastAsia" w:ascii="仿宋" w:hAnsi="仿宋" w:eastAsia="仿宋" w:cs="仿宋"/>
          <w:bCs/>
          <w:kern w:val="0"/>
          <w:sz w:val="32"/>
          <w:szCs w:val="32"/>
        </w:rPr>
        <w:t>公开表格附后</w:t>
      </w:r>
    </w:p>
    <w:p>
      <w:pPr>
        <w:keepNext w:val="0"/>
        <w:keepLines w:val="0"/>
        <w:pageBreakBefore w:val="0"/>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b w:val="0"/>
          <w:bCs w:val="0"/>
          <w:color w:val="212121"/>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ind w:left="0" w:right="0" w:firstLine="643" w:firstLineChars="200"/>
        <w:textAlignment w:val="auto"/>
        <w:outlineLvl w:val="9"/>
        <w:rPr>
          <w:rFonts w:hint="eastAsia" w:ascii="黑体" w:hAnsi="黑体" w:eastAsia="黑体" w:cs="黑体"/>
          <w:b/>
          <w:bCs/>
          <w:color w:val="212121"/>
          <w:sz w:val="32"/>
          <w:szCs w:val="32"/>
          <w:lang w:val="en-US" w:eastAsia="zh-CN"/>
        </w:rPr>
      </w:pPr>
      <w:r>
        <w:rPr>
          <w:rFonts w:hint="eastAsia" w:ascii="黑体" w:hAnsi="黑体" w:eastAsia="黑体" w:cs="黑体"/>
          <w:b/>
          <w:bCs/>
          <w:color w:val="212121"/>
          <w:sz w:val="32"/>
          <w:szCs w:val="32"/>
          <w:lang w:val="en-US" w:eastAsia="zh-CN"/>
        </w:rPr>
        <w:t xml:space="preserve"> </w:t>
      </w:r>
      <w:r>
        <w:rPr>
          <w:rFonts w:hint="eastAsia" w:ascii="黑体" w:hAnsi="黑体" w:eastAsia="黑体" w:cs="黑体"/>
          <w:b/>
          <w:bCs/>
          <w:color w:val="212121"/>
          <w:sz w:val="32"/>
          <w:szCs w:val="32"/>
          <w:lang w:eastAsia="zh-CN"/>
        </w:rPr>
        <w:t>区供销社</w:t>
      </w:r>
      <w:r>
        <w:rPr>
          <w:rFonts w:hint="eastAsia" w:ascii="黑体" w:hAnsi="黑体" w:eastAsia="黑体" w:cs="黑体"/>
          <w:b/>
          <w:bCs/>
          <w:color w:val="212121"/>
          <w:sz w:val="32"/>
          <w:szCs w:val="32"/>
          <w:lang w:val="en-US" w:eastAsia="zh-CN"/>
        </w:rPr>
        <w:t>2017年度部门决算情况说明</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本单位本年度收入支出决算总体情况说明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区供销社2017年度收入总计为2055.4万元，比上年同期增加1581.3万元，增长334%。支出总计2055.4万元，比上年同期增加1581.3万元，增长334%。主要原因是我社所属棉麻收储中心团洲仓库棚改项目1544万元，纳入我单位预算，如剔去此项收支金额为511.4万元，收支均比上年增长7.8%。</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关于区供销社2017年度收入决算情况说明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2017年度收入合计2055.4万元，全部为财政拨款收入。</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关于区供销社2017年度支出决算情况说明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2017年度支出合计2055.4万元，其中基本支出472.9万元，占23%，项目支出1582.5万元，占77%。</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关于区供销社2017年度财政拨款收入支出决算总体情况说明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 xml:space="preserve">  2017年度财政拨款收入总计2055.4万元，比上年同期增加1581.3万元，增长334%。财政拨款支出总计2055.4万元，比上年同期增长1581.3万元，增长334%，主要原因为我社所属棉麻收储中心团洲仓库棚改项目1544万元，纳入我单位预算，如剔去此项收支，财政拨款为511.4万元，收支均比上年增长7.8%。</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关于区供销社2017年度一般公共预算财政拨款支出决算情况说明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val="0"/>
          <w:bCs w:val="0"/>
          <w:color w:val="212121"/>
          <w:sz w:val="32"/>
          <w:szCs w:val="32"/>
          <w:lang w:val="en-US" w:eastAsia="zh-CN"/>
        </w:rPr>
        <w:t>一般公共预算财政拨款支出总计2055.4万元，比上年同期增加1581.3万元，增长334%，原因同上。其中基本支出472.9万元，主要是社会保障支出36万元，商品服务支出429.1万元，住房保障支出7.8万元。项目支出1582.5万元，主要是棉麻收储中心团洲仓库棚改项目支</w:t>
      </w:r>
      <w:r>
        <w:rPr>
          <w:rFonts w:hint="eastAsia" w:ascii="仿宋" w:hAnsi="仿宋" w:eastAsia="仿宋" w:cs="仿宋"/>
          <w:b/>
          <w:bCs/>
          <w:color w:val="212121"/>
          <w:sz w:val="32"/>
          <w:szCs w:val="32"/>
          <w:lang w:val="en-US" w:eastAsia="zh-CN"/>
        </w:rPr>
        <w:t>出。</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关于区供销社2017年度一般公共预算财政拨款基本支出决算情况说明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2017年度一般公共预算财政拨款支出429.1万元，其中人员经费支出366.2万元，包括基本工资95.1万元，社保保障缴费22.1万元，抚恤金87.5万元，生活补助43万元，住房公积金25万元，其他对个人和家庭补助支出10万元。公用经费支出106.7万元，主要包括办公费3.6万元，印刷费5.2万元，水电费5万元，物业管理费3.5万元，差旅费6.2万元，维修费8.2万元，会议费1.9万元，培训费0.5万元，公务接待费10.2万元，专用材料费30万元，工会经费4.8万元，其他商品服务支出27.6万元。</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我单位没有政府性基金收入，也没有政府性基金安排的支出。</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关于我单位2017年度一般公共预算财政拨款“三公”经费支出决算的说明</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2017年度“三公”经费财政拨款支出预算为10.2万元，支出预算为10.2万元，其中因公出国（境）、公务用车购置及运行预算未安排，决算数据为零。公务接待决算数为10.2万元，共接待94批次，接待939人，与预算数持平，比上年减少0.1万元，接待支出主要用于系统内涉军人员、下岗失业的上访及有关部门的协调。</w:t>
      </w:r>
    </w:p>
    <w:p>
      <w:pPr>
        <w:keepNext w:val="0"/>
        <w:keepLines w:val="0"/>
        <w:pageBreakBefore w:val="0"/>
        <w:numPr>
          <w:ilvl w:val="0"/>
          <w:numId w:val="3"/>
        </w:numPr>
        <w:kinsoku/>
        <w:wordWrap/>
        <w:overflowPunct/>
        <w:topLinePunct w:val="0"/>
        <w:autoSpaceDE/>
        <w:autoSpaceDN/>
        <w:bidi w:val="0"/>
        <w:adjustRightInd/>
        <w:snapToGrid/>
        <w:ind w:left="0" w:leftChars="0" w:right="0" w:firstLine="643" w:firstLineChars="200"/>
        <w:textAlignment w:val="auto"/>
        <w:outlineLvl w:val="9"/>
        <w:rPr>
          <w:rFonts w:hint="eastAsia" w:ascii="仿宋" w:hAnsi="仿宋" w:eastAsia="仿宋" w:cs="仿宋"/>
          <w:b/>
          <w:bCs/>
          <w:color w:val="212121"/>
          <w:sz w:val="32"/>
          <w:szCs w:val="32"/>
          <w:lang w:val="en-US" w:eastAsia="zh-CN"/>
        </w:rPr>
      </w:pPr>
      <w:r>
        <w:rPr>
          <w:rFonts w:hint="eastAsia" w:ascii="仿宋" w:hAnsi="仿宋" w:eastAsia="仿宋" w:cs="仿宋"/>
          <w:b/>
          <w:bCs/>
          <w:color w:val="212121"/>
          <w:sz w:val="32"/>
          <w:szCs w:val="32"/>
          <w:lang w:val="en-US" w:eastAsia="zh-CN"/>
        </w:rPr>
        <w:t>其他重要事项的情况说明</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预决算收支增加1581.3万元，增长334%，主要是我社所属棉麻收储中心团洲仓库棚改项目1544万元纳入我单位预算所致。其余增加部门预决算为人员正常调资调级影响。</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机关运行经费支出472.9万元，比上年减少1.2万元，主要是日常经费的减少。</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本部门2017年度无政府采购项目。</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国有资产占用情况。2017年因公车改革，我单位由财政国有资产股调出公务用车一辆，现单位无公务用车，同时添置电脑三台。</w:t>
      </w:r>
    </w:p>
    <w:p>
      <w:pPr>
        <w:keepNext w:val="0"/>
        <w:keepLines w:val="0"/>
        <w:pageBreakBefore w:val="0"/>
        <w:numPr>
          <w:ilvl w:val="0"/>
          <w:numId w:val="4"/>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预算绩效情况说明</w:t>
      </w:r>
    </w:p>
    <w:p>
      <w:pPr>
        <w:keepNext w:val="0"/>
        <w:keepLines w:val="0"/>
        <w:pageBreakBefore w:val="0"/>
        <w:numPr>
          <w:ilvl w:val="0"/>
          <w:numId w:val="0"/>
        </w:numPr>
        <w:kinsoku/>
        <w:wordWrap/>
        <w:overflowPunct/>
        <w:topLinePunct w:val="0"/>
        <w:autoSpaceDE/>
        <w:autoSpaceDN/>
        <w:bidi w:val="0"/>
        <w:adjustRightInd/>
        <w:snapToGrid/>
        <w:ind w:left="0" w:right="0" w:firstLine="640" w:firstLineChars="200"/>
        <w:textAlignment w:val="auto"/>
        <w:outlineLvl w:val="9"/>
        <w:rPr>
          <w:rFonts w:hint="eastAsia" w:ascii="仿宋" w:hAnsi="仿宋" w:eastAsia="仿宋" w:cs="仿宋"/>
          <w:b w:val="0"/>
          <w:bCs w:val="0"/>
          <w:color w:val="212121"/>
          <w:sz w:val="32"/>
          <w:szCs w:val="32"/>
          <w:lang w:val="en-US" w:eastAsia="zh-CN"/>
        </w:rPr>
      </w:pPr>
      <w:r>
        <w:rPr>
          <w:rFonts w:hint="eastAsia" w:ascii="仿宋" w:hAnsi="仿宋" w:eastAsia="仿宋" w:cs="仿宋"/>
          <w:b w:val="0"/>
          <w:bCs w:val="0"/>
          <w:color w:val="212121"/>
          <w:sz w:val="32"/>
          <w:szCs w:val="32"/>
          <w:lang w:val="en-US" w:eastAsia="zh-CN"/>
        </w:rPr>
        <w:t>为规范财政资金管理，提高财政资金使用效益，我社加强了对部门整体支出，特别是津补贴落实，资产管理、三公经费，预决算公开及区委、区政府年度绩效目标个性指标完成情况的评价。按照区委、区政府要求，围绕保系统安全，保系统稳定，保资产增值，保机关运转的目标，不断提升服务水平，保障有关人员待遇落实，推进供销社综合改革，全面提升供销社发展水平，较好完成了各级交办的工作任务。2017年，全系统实现销售8.7亿元，实现利润540万元，新增基层供销社2个，农民专业合作社5个，综合服务社10个，并通过做好（包括涉军人员625人在内的）全系统685人各下岗人员，867名失业人员的服务工作，基本维护了系统额安全稳定。</w:t>
      </w:r>
    </w:p>
    <w:p>
      <w:pPr>
        <w:keepNext w:val="0"/>
        <w:keepLines w:val="0"/>
        <w:pageBreakBefore w:val="0"/>
        <w:numPr>
          <w:ilvl w:val="0"/>
          <w:numId w:val="0"/>
        </w:numPr>
        <w:kinsoku/>
        <w:wordWrap/>
        <w:overflowPunct/>
        <w:topLinePunct w:val="0"/>
        <w:autoSpaceDE/>
        <w:autoSpaceDN/>
        <w:bidi w:val="0"/>
        <w:adjustRightInd/>
        <w:snapToGrid/>
        <w:ind w:left="0" w:leftChars="0" w:right="0" w:firstLine="640" w:firstLineChars="200"/>
        <w:textAlignment w:val="auto"/>
        <w:outlineLvl w:val="9"/>
        <w:rPr>
          <w:rFonts w:hint="eastAsia" w:ascii="仿宋" w:hAnsi="仿宋" w:eastAsia="仿宋" w:cs="仿宋"/>
          <w:b w:val="0"/>
          <w:bCs w:val="0"/>
          <w:color w:val="212121"/>
          <w:sz w:val="32"/>
          <w:szCs w:val="32"/>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line="33" w:lineRule="atLeast"/>
        <w:ind w:left="0" w:right="0" w:rightChars="0" w:firstLine="643" w:firstLineChars="200"/>
        <w:textAlignment w:val="auto"/>
        <w:outlineLvl w:val="9"/>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lang w:eastAsia="zh-CN"/>
        </w:rPr>
        <w:t>第四部分</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lang w:eastAsia="zh-CN"/>
        </w:rPr>
        <w:t>名词解释</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 xml:space="preserve">指中央财政当年拨付的资金。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二、事业收入：</w:t>
      </w:r>
      <w:r>
        <w:rPr>
          <w:rFonts w:hint="eastAsia" w:ascii="仿宋" w:hAnsi="仿宋" w:eastAsia="仿宋" w:cs="仿宋"/>
          <w:sz w:val="32"/>
          <w:szCs w:val="32"/>
        </w:rPr>
        <w:t xml:space="preserve">指事业单位开展专业业务活动及辅助活动所取得的收入。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三、经营收入：</w:t>
      </w:r>
      <w:r>
        <w:rPr>
          <w:rFonts w:hint="eastAsia" w:ascii="仿宋" w:hAnsi="仿宋" w:eastAsia="仿宋" w:cs="仿宋"/>
          <w:sz w:val="32"/>
          <w:szCs w:val="32"/>
        </w:rPr>
        <w:t xml:space="preserve">指事业单位在专业业务活动及其辅助活动之外开展非独立核算经营活动取得的收入。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四、其他收入：</w:t>
      </w:r>
      <w:r>
        <w:rPr>
          <w:rFonts w:hint="eastAsia" w:ascii="仿宋" w:hAnsi="仿宋" w:eastAsia="仿宋" w:cs="仿宋"/>
          <w:sz w:val="32"/>
          <w:szCs w:val="32"/>
        </w:rPr>
        <w:t xml:space="preserve">指除上述“财政拨款收入” 、 “事业收入” 、“经营收入”等以外的收入。主要是按规定动用的售房收入、存款利息收入等。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五、用事业基金弥补收支差额：</w:t>
      </w:r>
      <w:r>
        <w:rPr>
          <w:rFonts w:hint="eastAsia" w:ascii="仿宋" w:hAnsi="仿宋" w:eastAsia="仿宋" w:cs="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六、年初结转和结余：</w:t>
      </w:r>
      <w:r>
        <w:rPr>
          <w:rFonts w:hint="eastAsia" w:ascii="仿宋" w:hAnsi="仿宋" w:eastAsia="仿宋" w:cs="仿宋"/>
          <w:sz w:val="32"/>
          <w:szCs w:val="32"/>
        </w:rPr>
        <w:t xml:space="preserve">指以前年度尚未完成、结转到本年按有关规定继续使用的资金。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指本年度或以前年度预算安排、因客观条件发生变化无法按原计划实施，需要延迟到以后年度按有关规定继续使用的资金。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指为保障机构正常运转、完成日常工</w:t>
      </w:r>
    </w:p>
    <w:p>
      <w:pPr>
        <w:keepNext w:val="0"/>
        <w:keepLines w:val="0"/>
        <w:pageBreakBefore w:val="0"/>
        <w:kinsoku/>
        <w:wordWrap/>
        <w:overflowPunct/>
        <w:topLinePunct w:val="0"/>
        <w:autoSpaceDE/>
        <w:autoSpaceDN/>
        <w:bidi w:val="0"/>
        <w:adjustRightInd/>
        <w:snapToGrid/>
        <w:ind w:left="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作任务而发生的人员支出和公用支出。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十二、“三公”经费：</w:t>
      </w:r>
      <w:r>
        <w:rPr>
          <w:rFonts w:hint="eastAsia" w:ascii="仿宋" w:hAnsi="仿宋" w:eastAsia="仿宋" w:cs="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kinsoku/>
        <w:wordWrap/>
        <w:overflowPunct/>
        <w:topLinePunct w:val="0"/>
        <w:autoSpaceDE/>
        <w:autoSpaceDN/>
        <w:bidi w:val="0"/>
        <w:adjustRightInd/>
        <w:snapToGrid/>
        <w:ind w:left="0" w:right="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left="0" w:right="0" w:firstLine="640" w:firstLineChars="20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left="0" w:right="0" w:firstLine="640" w:firstLineChars="20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赫山区供销合作社联合社</w:t>
      </w:r>
    </w:p>
    <w:p>
      <w:pPr>
        <w:keepNext w:val="0"/>
        <w:keepLines w:val="0"/>
        <w:pageBreakBefore w:val="0"/>
        <w:kinsoku/>
        <w:wordWrap/>
        <w:overflowPunct/>
        <w:topLinePunct w:val="0"/>
        <w:autoSpaceDE/>
        <w:autoSpaceDN/>
        <w:bidi w:val="0"/>
        <w:adjustRightInd/>
        <w:snapToGrid/>
        <w:ind w:left="0" w:right="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2018-09-20</w:t>
      </w:r>
      <w:bookmarkStart w:id="0" w:name="_GoBack"/>
      <w:bookmarkEnd w:id="0"/>
    </w:p>
    <w:p>
      <w:pPr>
        <w:pStyle w:val="3"/>
        <w:keepNext w:val="0"/>
        <w:keepLines w:val="0"/>
        <w:pageBreakBefore w:val="0"/>
        <w:widowControl/>
        <w:numPr>
          <w:ilvl w:val="0"/>
          <w:numId w:val="0"/>
        </w:numPr>
        <w:kinsoku/>
        <w:wordWrap/>
        <w:overflowPunct/>
        <w:topLinePunct w:val="0"/>
        <w:autoSpaceDE/>
        <w:autoSpaceDN/>
        <w:bidi w:val="0"/>
        <w:adjustRightInd/>
        <w:snapToGrid/>
        <w:spacing w:line="33" w:lineRule="atLeast"/>
        <w:ind w:left="0" w:right="0" w:rightChars="0" w:firstLine="560"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kern w:val="0"/>
          <w:sz w:val="28"/>
          <w:szCs w:val="28"/>
        </w:rPr>
        <w:br w:type="textWrapping"/>
      </w:r>
      <w:r>
        <w:rPr>
          <w:rFonts w:hint="eastAsia" w:ascii="仿宋" w:hAnsi="仿宋" w:eastAsia="仿宋" w:cs="仿宋"/>
          <w:kern w:val="0"/>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ind w:left="0" w:right="0" w:firstLine="560" w:firstLineChars="200"/>
        <w:textAlignment w:val="auto"/>
        <w:outlineLvl w:val="9"/>
        <w:rPr>
          <w:rFonts w:hint="eastAsia" w:ascii="仿宋" w:hAnsi="仿宋" w:eastAsia="仿宋" w:cs="仿宋"/>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F791F"/>
    <w:multiLevelType w:val="singleLevel"/>
    <w:tmpl w:val="C89F791F"/>
    <w:lvl w:ilvl="0" w:tentative="0">
      <w:start w:val="1"/>
      <w:numFmt w:val="chineseCounting"/>
      <w:suff w:val="nothing"/>
      <w:lvlText w:val="%1、"/>
      <w:lvlJc w:val="left"/>
      <w:pPr>
        <w:ind w:left="642" w:leftChars="0" w:firstLine="0" w:firstLineChars="0"/>
      </w:pPr>
      <w:rPr>
        <w:rFonts w:hint="eastAsia"/>
      </w:rPr>
    </w:lvl>
  </w:abstractNum>
  <w:abstractNum w:abstractNumId="1">
    <w:nsid w:val="DBB0C303"/>
    <w:multiLevelType w:val="singleLevel"/>
    <w:tmpl w:val="DBB0C303"/>
    <w:lvl w:ilvl="0" w:tentative="0">
      <w:start w:val="3"/>
      <w:numFmt w:val="chineseCounting"/>
      <w:suff w:val="space"/>
      <w:lvlText w:val="第%1部分"/>
      <w:lvlJc w:val="left"/>
      <w:rPr>
        <w:rFonts w:hint="eastAsia"/>
      </w:rPr>
    </w:lvl>
  </w:abstractNum>
  <w:abstractNum w:abstractNumId="2">
    <w:nsid w:val="EB9D507F"/>
    <w:multiLevelType w:val="singleLevel"/>
    <w:tmpl w:val="EB9D507F"/>
    <w:lvl w:ilvl="0" w:tentative="0">
      <w:start w:val="1"/>
      <w:numFmt w:val="decimal"/>
      <w:suff w:val="nothing"/>
      <w:lvlText w:val="%1、"/>
      <w:lvlJc w:val="left"/>
    </w:lvl>
  </w:abstractNum>
  <w:abstractNum w:abstractNumId="3">
    <w:nsid w:val="3E9C88E8"/>
    <w:multiLevelType w:val="singleLevel"/>
    <w:tmpl w:val="3E9C88E8"/>
    <w:lvl w:ilvl="0" w:tentative="0">
      <w:start w:val="2"/>
      <w:numFmt w:val="chineseCounting"/>
      <w:suff w:val="space"/>
      <w:lvlText w:val="第%1部分"/>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82391"/>
    <w:rsid w:val="02921FDD"/>
    <w:rsid w:val="02B90B9F"/>
    <w:rsid w:val="05782391"/>
    <w:rsid w:val="0A4E4DA3"/>
    <w:rsid w:val="0D8F2A56"/>
    <w:rsid w:val="123A54E5"/>
    <w:rsid w:val="12A76C5D"/>
    <w:rsid w:val="12B3346A"/>
    <w:rsid w:val="13DC214B"/>
    <w:rsid w:val="161A064D"/>
    <w:rsid w:val="165430E9"/>
    <w:rsid w:val="200A4DB7"/>
    <w:rsid w:val="213F73B2"/>
    <w:rsid w:val="26B06F45"/>
    <w:rsid w:val="27DD0651"/>
    <w:rsid w:val="288A595E"/>
    <w:rsid w:val="2EA3271D"/>
    <w:rsid w:val="2ECC1B3F"/>
    <w:rsid w:val="302A7118"/>
    <w:rsid w:val="30B86635"/>
    <w:rsid w:val="3C317A8D"/>
    <w:rsid w:val="3EA8344C"/>
    <w:rsid w:val="40445977"/>
    <w:rsid w:val="41816791"/>
    <w:rsid w:val="46DC7DB1"/>
    <w:rsid w:val="4BBE4411"/>
    <w:rsid w:val="4CA423FB"/>
    <w:rsid w:val="4F8955F7"/>
    <w:rsid w:val="5601161E"/>
    <w:rsid w:val="58DF2C2C"/>
    <w:rsid w:val="5B481811"/>
    <w:rsid w:val="5DC0257B"/>
    <w:rsid w:val="5E2803A1"/>
    <w:rsid w:val="5E846EAC"/>
    <w:rsid w:val="60852ED0"/>
    <w:rsid w:val="61723B12"/>
    <w:rsid w:val="62464198"/>
    <w:rsid w:val="658E7690"/>
    <w:rsid w:val="67295076"/>
    <w:rsid w:val="6937716D"/>
    <w:rsid w:val="6A52604C"/>
    <w:rsid w:val="70D9462C"/>
    <w:rsid w:val="7308725D"/>
    <w:rsid w:val="7DA31C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jc w:val="left"/>
    </w:pPr>
    <w:rPr>
      <w:rFonts w:ascii="Calibri" w:hAnsi="Calibri"/>
      <w:kern w:val="0"/>
      <w:sz w:val="24"/>
    </w:rPr>
  </w:style>
  <w:style w:type="character" w:styleId="5">
    <w:name w:val="Strong"/>
    <w:basedOn w:val="4"/>
    <w:qFormat/>
    <w:uiPriority w:val="0"/>
    <w:rPr>
      <w:rFonts w:cs="Times New Roman"/>
      <w:b/>
      <w:bCs/>
    </w:rPr>
  </w:style>
  <w:style w:type="paragraph" w:customStyle="1" w:styleId="7">
    <w:name w:val="样式1"/>
    <w:basedOn w:val="1"/>
    <w:qFormat/>
    <w:uiPriority w:val="0"/>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2017-02-06T03:07:00Z</dcterms:created>
  <dc:creator>Administrator</dc:creator>
  <cp:lastModifiedBy>Administrator</cp:lastModifiedBy>
  <dcterms:modified xsi:type="dcterms:W3CDTF">2018-09-19T07:48:50Z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