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等线" w:hAnsi="等线"/>
        </w:rPr>
      </w:pPr>
      <w:r>
        <w:rPr>
          <w:rFonts w:ascii="等线" w:hAnsi="等线"/>
        </w:rPr>
        <w:t>附件</w:t>
      </w:r>
      <w:r>
        <w:t>3</w:t>
      </w:r>
    </w:p>
    <w:p>
      <w:pPr>
        <w:pStyle w:val="3"/>
        <w:spacing w:before="0" w:after="0" w:line="572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益阳市赫山区“三新”集成配套种植大户遴选评审评分表</w:t>
      </w:r>
    </w:p>
    <w:bookmarkEnd w:id="0"/>
    <w:p>
      <w:pPr>
        <w:pStyle w:val="16"/>
        <w:jc w:val="center"/>
      </w:pPr>
      <w:r>
        <w:rPr>
          <w:rFonts w:ascii="等线" w:hAnsi="等线"/>
        </w:rPr>
        <w:t>（总分</w:t>
      </w:r>
      <w:r>
        <w:t>100</w:t>
      </w:r>
      <w:r>
        <w:rPr>
          <w:rFonts w:ascii="等线" w:hAnsi="等线"/>
        </w:rPr>
        <w:t>分，加分项</w:t>
      </w:r>
      <w:r>
        <w:t>10</w:t>
      </w:r>
      <w:r>
        <w:rPr>
          <w:rFonts w:ascii="等线" w:hAnsi="等线"/>
        </w:rPr>
        <w:t>分，一票否决项单独核查，专家评审专用）</w:t>
      </w:r>
    </w:p>
    <w:p>
      <w:pPr>
        <w:pStyle w:val="3"/>
      </w:pPr>
      <w:r>
        <w:rPr>
          <w:rFonts w:ascii="等线" w:hAnsi="等线"/>
        </w:rPr>
        <w:t>一、一票否决项核查表</w:t>
      </w:r>
    </w:p>
    <w:tbl>
      <w:tblPr>
        <w:tblStyle w:val="9"/>
        <w:tblW w:w="854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0"/>
        <w:gridCol w:w="400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序号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核查内容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核查结果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</w:pPr>
            <w:r>
              <w:t>1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经营主体资质合法、资料真实有效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</w:t>
            </w:r>
            <w:r>
              <w:rPr>
                <w:rFonts w:ascii="等线" w:hAnsi="等线"/>
              </w:rPr>
              <w:t xml:space="preserve">合格 </w:t>
            </w:r>
            <w:r>
              <w:t>□</w:t>
            </w:r>
            <w:r>
              <w:rPr>
                <w:rFonts w:ascii="等线" w:hAnsi="等线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</w:pPr>
            <w:r>
              <w:t>2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近三年无失信、无违法违规、无套取涉农补贴记录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</w:t>
            </w:r>
            <w:r>
              <w:rPr>
                <w:rFonts w:ascii="等线" w:hAnsi="等线"/>
              </w:rPr>
              <w:t xml:space="preserve">合格 </w:t>
            </w:r>
            <w:r>
              <w:t>□</w:t>
            </w:r>
            <w:r>
              <w:rPr>
                <w:rFonts w:ascii="等线" w:hAnsi="等线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</w:pPr>
            <w:r>
              <w:t>3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种植规模、集中连片面积达到申报基准要求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</w:t>
            </w:r>
            <w:r>
              <w:rPr>
                <w:rFonts w:ascii="等线" w:hAnsi="等线"/>
              </w:rPr>
              <w:t xml:space="preserve">合格 </w:t>
            </w:r>
            <w:r>
              <w:t>□</w:t>
            </w:r>
            <w:r>
              <w:rPr>
                <w:rFonts w:ascii="等线" w:hAnsi="等线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</w:pPr>
            <w:r>
              <w:t>4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地块排灌、道路等基础设施满足作业和观摩要求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</w:t>
            </w:r>
            <w:r>
              <w:rPr>
                <w:rFonts w:ascii="等线" w:hAnsi="等线"/>
              </w:rPr>
              <w:t xml:space="preserve">合格 </w:t>
            </w:r>
            <w:r>
              <w:t>□</w:t>
            </w:r>
            <w:r>
              <w:rPr>
                <w:rFonts w:ascii="等线" w:hAnsi="等线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</w:pPr>
            <w:r>
              <w:t>5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自愿承接</w:t>
            </w:r>
            <w:r>
              <w:t>“</w:t>
            </w:r>
            <w:r>
              <w:rPr>
                <w:rFonts w:ascii="等线" w:hAnsi="等线"/>
              </w:rPr>
              <w:t>三新</w:t>
            </w:r>
            <w:r>
              <w:t>”</w:t>
            </w:r>
            <w:r>
              <w:rPr>
                <w:rFonts w:ascii="等线" w:hAnsi="等线"/>
              </w:rPr>
              <w:t>示范任务，服从统一管理考核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</w:t>
            </w:r>
            <w:r>
              <w:rPr>
                <w:rFonts w:ascii="等线" w:hAnsi="等线"/>
              </w:rPr>
              <w:t xml:space="preserve">合格 </w:t>
            </w:r>
            <w:r>
              <w:t>□</w:t>
            </w:r>
            <w:r>
              <w:rPr>
                <w:rFonts w:ascii="等线" w:hAnsi="等线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rPr>
                <w:rFonts w:ascii="等线" w:hAnsi="等线"/>
              </w:rPr>
            </w:pPr>
            <w:r>
              <w:rPr>
                <w:rFonts w:hint="eastAsia" w:ascii="等线" w:hAnsi="等线" w:eastAsia="等线" w:cs="Arial"/>
                <w:kern w:val="0"/>
                <w:sz w:val="22"/>
              </w:rPr>
              <w:t>申请单位及相关单位2025年在赫山区农业农村局获得财政支持资金累计超过100万元的不得申报。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□</w:t>
            </w:r>
            <w:r>
              <w:rPr>
                <w:rFonts w:ascii="等线" w:hAnsi="等线"/>
              </w:rPr>
              <w:t xml:space="preserve">合格 </w:t>
            </w:r>
            <w:r>
              <w:t>□</w:t>
            </w:r>
            <w:r>
              <w:rPr>
                <w:rFonts w:ascii="等线" w:hAnsi="等线"/>
              </w:rPr>
              <w:t>不合格</w:t>
            </w:r>
          </w:p>
        </w:tc>
      </w:tr>
    </w:tbl>
    <w:p>
      <w:pPr>
        <w:pStyle w:val="16"/>
      </w:pPr>
      <w:r>
        <w:rPr>
          <w:rFonts w:ascii="等线" w:hAnsi="等线"/>
          <w:b/>
          <w:bCs/>
        </w:rPr>
        <w:t>核查结论</w:t>
      </w:r>
      <w:r>
        <w:rPr>
          <w:rFonts w:ascii="等线" w:hAnsi="等线"/>
        </w:rPr>
        <w:t>：</w:t>
      </w:r>
      <w:r>
        <w:t xml:space="preserve">□ </w:t>
      </w:r>
      <w:r>
        <w:rPr>
          <w:rFonts w:ascii="等线" w:hAnsi="等线"/>
        </w:rPr>
        <w:t xml:space="preserve">进入打分评审  </w:t>
      </w:r>
      <w:r>
        <w:t xml:space="preserve">□ </w:t>
      </w:r>
      <w:r>
        <w:rPr>
          <w:rFonts w:ascii="等线" w:hAnsi="等线"/>
        </w:rPr>
        <w:t>一票否决，不予入选</w:t>
      </w:r>
    </w:p>
    <w:p>
      <w:pPr>
        <w:pStyle w:val="3"/>
        <w:rPr>
          <w:rFonts w:ascii="等线" w:hAnsi="等线"/>
        </w:rPr>
      </w:pPr>
    </w:p>
    <w:p>
      <w:pPr>
        <w:pStyle w:val="3"/>
        <w:rPr>
          <w:rFonts w:ascii="等线" w:hAnsi="等线"/>
        </w:rPr>
      </w:pPr>
    </w:p>
    <w:p>
      <w:pPr>
        <w:pStyle w:val="3"/>
      </w:pPr>
      <w:r>
        <w:rPr>
          <w:rFonts w:ascii="等线" w:hAnsi="等线"/>
        </w:rPr>
        <w:t>二、基础指标量化评分表（</w:t>
      </w:r>
      <w:r>
        <w:t>100</w:t>
      </w:r>
      <w:r>
        <w:rPr>
          <w:rFonts w:ascii="等线" w:hAnsi="等线"/>
        </w:rPr>
        <w:t>分）</w:t>
      </w:r>
    </w:p>
    <w:tbl>
      <w:tblPr>
        <w:tblStyle w:val="9"/>
        <w:tblW w:w="8546" w:type="dxa"/>
        <w:jc w:val="center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729"/>
        <w:gridCol w:w="4962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ascii="等线" w:hAnsi="等线"/>
              </w:rPr>
              <w:t>一级指标</w:t>
            </w:r>
          </w:p>
        </w:tc>
        <w:tc>
          <w:tcPr>
            <w:tcW w:w="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ascii="等线" w:hAnsi="等线"/>
              </w:rPr>
              <w:t>分值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ascii="等线" w:hAnsi="等线"/>
              </w:rPr>
              <w:t>评分标准</w:t>
            </w:r>
          </w:p>
        </w:tc>
        <w:tc>
          <w:tcPr>
            <w:tcW w:w="12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ascii="等线" w:hAnsi="等线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1.</w:t>
            </w:r>
            <w:r>
              <w:rPr>
                <w:rFonts w:ascii="等线" w:hAnsi="等线"/>
                <w:b/>
                <w:bCs/>
              </w:rPr>
              <w:t>种植规模与地块条件</w:t>
            </w:r>
          </w:p>
        </w:tc>
        <w:tc>
          <w:tcPr>
            <w:tcW w:w="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</w:t>
            </w:r>
            <w:r>
              <w:rPr>
                <w:rFonts w:hint="eastAsia"/>
              </w:rPr>
              <w:t>地块集中</w:t>
            </w:r>
            <w:r>
              <w:rPr>
                <w:rFonts w:ascii="等线" w:hAnsi="等线"/>
              </w:rPr>
              <w:t>连片</w:t>
            </w:r>
            <w:r>
              <w:rPr>
                <w:rFonts w:hint="eastAsia" w:ascii="等线" w:hAnsi="等线"/>
              </w:rPr>
              <w:t>，田块规则；</w:t>
            </w:r>
            <w:r>
              <w:rPr>
                <w:rFonts w:ascii="等线" w:hAnsi="等线"/>
              </w:rPr>
              <w:t>面积达标</w:t>
            </w:r>
            <w:r>
              <w:rPr>
                <w:rFonts w:hint="eastAsia" w:ascii="等线" w:hAnsi="等线"/>
              </w:rPr>
              <w:t>且排灌条件好</w:t>
            </w:r>
            <w:r>
              <w:rPr>
                <w:rFonts w:ascii="等线" w:hAnsi="等线"/>
              </w:rPr>
              <w:t>：</w:t>
            </w:r>
            <w:r>
              <w:rPr>
                <w:rFonts w:hint="eastAsia" w:ascii="等线" w:hAnsi="等线"/>
              </w:rPr>
              <w:t>3</w:t>
            </w:r>
            <w:r>
              <w:t>5–</w:t>
            </w: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分；</w:t>
            </w:r>
          </w:p>
          <w:p>
            <w:pPr>
              <w:pStyle w:val="16"/>
              <w:rPr>
                <w:rFonts w:ascii="等线" w:hAnsi="等线"/>
              </w:rPr>
            </w:pPr>
            <w:r>
              <w:rPr>
                <w:rFonts w:hint="eastAsia"/>
              </w:rPr>
              <w:t>2.地块集中</w:t>
            </w:r>
            <w:r>
              <w:rPr>
                <w:rFonts w:ascii="等线" w:hAnsi="等线"/>
              </w:rPr>
              <w:t>连片</w:t>
            </w:r>
            <w:r>
              <w:rPr>
                <w:rFonts w:hint="eastAsia" w:ascii="等线" w:hAnsi="等线"/>
              </w:rPr>
              <w:t>，</w:t>
            </w:r>
            <w:r>
              <w:rPr>
                <w:rFonts w:ascii="等线" w:hAnsi="等线"/>
              </w:rPr>
              <w:t>面积达标</w:t>
            </w:r>
            <w:r>
              <w:rPr>
                <w:rFonts w:hint="eastAsia" w:ascii="等线" w:hAnsi="等线"/>
              </w:rPr>
              <w:t>，排灌条件中等</w:t>
            </w:r>
            <w:r>
              <w:rPr>
                <w:rFonts w:ascii="等线" w:hAnsi="等线"/>
              </w:rPr>
              <w:t>：</w:t>
            </w:r>
            <w:r>
              <w:rPr>
                <w:rFonts w:hint="eastAsia" w:ascii="等线" w:hAnsi="等线"/>
              </w:rPr>
              <w:t>2</w:t>
            </w:r>
            <w:r>
              <w:t>5–24</w:t>
            </w:r>
            <w:r>
              <w:rPr>
                <w:rFonts w:ascii="等线" w:hAnsi="等线"/>
              </w:rPr>
              <w:t>分</w:t>
            </w:r>
            <w:r>
              <w:rPr>
                <w:rFonts w:hint="eastAsia" w:ascii="等线" w:hAnsi="等线"/>
              </w:rPr>
              <w:t>；</w:t>
            </w:r>
          </w:p>
          <w:p>
            <w:pPr>
              <w:pStyle w:val="16"/>
            </w:pPr>
            <w:r>
              <w:t>3.</w:t>
            </w:r>
            <w:r>
              <w:rPr>
                <w:rFonts w:ascii="等线" w:hAnsi="等线"/>
              </w:rPr>
              <w:t>基本达标、地块零星分散</w:t>
            </w:r>
            <w:r>
              <w:rPr>
                <w:rFonts w:hint="eastAsia" w:ascii="等线" w:hAnsi="等线"/>
              </w:rPr>
              <w:t>，排灌条件达到项目需求</w:t>
            </w:r>
            <w:r>
              <w:rPr>
                <w:rFonts w:ascii="等线" w:hAnsi="等线"/>
              </w:rPr>
              <w:t>：</w:t>
            </w:r>
            <w:r>
              <w:t>1–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ascii="等线" w:hAnsi="等线"/>
              </w:rPr>
              <w:t>分</w:t>
            </w:r>
            <w:r>
              <w:rPr>
                <w:rFonts w:hint="eastAsia" w:ascii="等线" w:hAnsi="等线"/>
              </w:rPr>
              <w:t>。</w:t>
            </w:r>
          </w:p>
        </w:tc>
        <w:tc>
          <w:tcPr>
            <w:tcW w:w="12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2.</w:t>
            </w:r>
            <w:r>
              <w:rPr>
                <w:rFonts w:ascii="等线" w:hAnsi="等线"/>
                <w:b/>
                <w:bCs/>
              </w:rPr>
              <w:t>农机新机具配备水平</w:t>
            </w:r>
          </w:p>
        </w:tc>
        <w:tc>
          <w:tcPr>
            <w:tcW w:w="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ascii="等线" w:hAnsi="等线"/>
              </w:rPr>
            </w:pPr>
            <w:r>
              <w:t>1.</w:t>
            </w:r>
            <w:r>
              <w:rPr>
                <w:rFonts w:ascii="等线" w:hAnsi="等线"/>
              </w:rPr>
              <w:t>自有无人机</w:t>
            </w:r>
            <w:r>
              <w:t>+</w:t>
            </w:r>
            <w:r>
              <w:rPr>
                <w:rFonts w:ascii="等线" w:hAnsi="等线"/>
              </w:rPr>
              <w:t>精准施肥机</w:t>
            </w:r>
            <w:r>
              <w:t>+</w:t>
            </w:r>
            <w:r>
              <w:rPr>
                <w:rFonts w:ascii="等线" w:hAnsi="等线"/>
              </w:rPr>
              <w:t>全程机械化设备：</w:t>
            </w:r>
            <w:r>
              <w:rPr>
                <w:rFonts w:hint="eastAsia" w:ascii="等线" w:hAnsi="等线"/>
              </w:rPr>
              <w:t>3</w:t>
            </w:r>
            <w:r>
              <w:t>0–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ascii="等线" w:hAnsi="等线"/>
              </w:rPr>
              <w:t>分</w:t>
            </w:r>
            <w:r>
              <w:rPr>
                <w:rFonts w:hint="eastAsia" w:ascii="等线" w:hAnsi="等线"/>
              </w:rPr>
              <w:t>；</w:t>
            </w:r>
          </w:p>
          <w:p>
            <w:pPr>
              <w:pStyle w:val="16"/>
              <w:rPr>
                <w:rFonts w:ascii="等线" w:hAnsi="等线"/>
              </w:rPr>
            </w:pPr>
            <w:r>
              <w:t>2.</w:t>
            </w:r>
            <w:r>
              <w:rPr>
                <w:rFonts w:ascii="等线" w:hAnsi="等线"/>
              </w:rPr>
              <w:t>主要作业农机设备齐全</w:t>
            </w:r>
            <w:r>
              <w:rPr>
                <w:rFonts w:hint="eastAsia" w:ascii="等线" w:hAnsi="等线"/>
              </w:rPr>
              <w:t>：1</w:t>
            </w:r>
            <w:r>
              <w:rPr>
                <w:rFonts w:ascii="等线" w:hAnsi="等线"/>
              </w:rPr>
              <w:t>5</w:t>
            </w:r>
            <w:r>
              <w:rPr>
                <w:rFonts w:hint="eastAsia" w:ascii="等线" w:hAnsi="等线"/>
              </w:rPr>
              <w:t>-</w:t>
            </w:r>
            <w:r>
              <w:rPr>
                <w:rFonts w:ascii="等线" w:hAnsi="等线"/>
              </w:rPr>
              <w:t>19</w:t>
            </w:r>
            <w:r>
              <w:rPr>
                <w:rFonts w:hint="eastAsia" w:ascii="等线" w:hAnsi="等线"/>
              </w:rPr>
              <w:t>分；</w:t>
            </w:r>
          </w:p>
          <w:p>
            <w:pPr>
              <w:pStyle w:val="16"/>
            </w:pPr>
            <w:r>
              <w:t>3.</w:t>
            </w:r>
            <w:r>
              <w:rPr>
                <w:rFonts w:ascii="等线" w:hAnsi="等线"/>
              </w:rPr>
              <w:t>农机薄弱、主要依赖外包</w:t>
            </w:r>
            <w:r>
              <w:rPr>
                <w:rFonts w:hint="eastAsia" w:ascii="等线" w:hAnsi="等线"/>
              </w:rPr>
              <w:t>：</w:t>
            </w:r>
            <w:r>
              <w:t>1–14</w:t>
            </w:r>
            <w:r>
              <w:rPr>
                <w:rFonts w:ascii="等线" w:hAnsi="等线"/>
              </w:rPr>
              <w:t>分</w:t>
            </w:r>
          </w:p>
        </w:tc>
        <w:tc>
          <w:tcPr>
            <w:tcW w:w="12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>
              <w:rPr>
                <w:rFonts w:ascii="等线" w:hAnsi="等线"/>
                <w:b/>
                <w:bCs/>
              </w:rPr>
              <w:t>示范带动与配合度</w:t>
            </w:r>
          </w:p>
        </w:tc>
        <w:tc>
          <w:tcPr>
            <w:tcW w:w="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20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</w:t>
            </w:r>
            <w:r>
              <w:rPr>
                <w:rFonts w:ascii="等线" w:hAnsi="等线"/>
              </w:rPr>
              <w:t>主动开展观摩培训、带动能力强：</w:t>
            </w:r>
            <w:r>
              <w:t>15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分；</w:t>
            </w:r>
            <w:r>
              <w:t>2.</w:t>
            </w:r>
            <w:r>
              <w:rPr>
                <w:rFonts w:ascii="等线" w:hAnsi="等线"/>
              </w:rPr>
              <w:t>能够配合工作、有带动意识：</w:t>
            </w:r>
            <w:r>
              <w:t>8–14</w:t>
            </w:r>
            <w:r>
              <w:rPr>
                <w:rFonts w:hint="eastAsia"/>
              </w:rPr>
              <w:t xml:space="preserve">分； </w:t>
            </w:r>
            <w:r>
              <w:t xml:space="preserve">   </w:t>
            </w:r>
            <w:r>
              <w:rPr>
                <w:rFonts w:hint="eastAsia"/>
              </w:rPr>
              <w:t>3.</w:t>
            </w:r>
            <w:r>
              <w:rPr>
                <w:rFonts w:ascii="等线" w:hAnsi="等线"/>
              </w:rPr>
              <w:t>配合一般、带动能力弱：</w:t>
            </w:r>
            <w:r>
              <w:t>1–7</w:t>
            </w:r>
            <w:r>
              <w:rPr>
                <w:rFonts w:ascii="等线" w:hAnsi="等线"/>
              </w:rPr>
              <w:t>分</w:t>
            </w:r>
            <w:r>
              <w:rPr>
                <w:rFonts w:hint="eastAsia" w:ascii="等线" w:hAnsi="等线"/>
              </w:rPr>
              <w:t>。</w:t>
            </w:r>
          </w:p>
        </w:tc>
        <w:tc>
          <w:tcPr>
            <w:tcW w:w="12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  <w:b/>
                <w:bCs/>
              </w:rPr>
              <w:t>基础得分合计</w:t>
            </w:r>
          </w:p>
        </w:tc>
        <w:tc>
          <w:tcPr>
            <w:tcW w:w="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100</w:t>
            </w:r>
          </w:p>
        </w:tc>
        <w:tc>
          <w:tcPr>
            <w:tcW w:w="49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——</w:t>
            </w:r>
          </w:p>
        </w:tc>
        <w:tc>
          <w:tcPr>
            <w:tcW w:w="12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3"/>
        <w:rPr>
          <w:rFonts w:ascii="等线" w:hAnsi="等线"/>
        </w:rPr>
      </w:pPr>
    </w:p>
    <w:p>
      <w:pPr>
        <w:pStyle w:val="3"/>
        <w:rPr>
          <w:rFonts w:ascii="等线" w:hAnsi="等线"/>
        </w:rPr>
      </w:pPr>
    </w:p>
    <w:p/>
    <w:p>
      <w:pPr>
        <w:pStyle w:val="3"/>
        <w:rPr>
          <w:rFonts w:ascii="等线" w:hAnsi="等线"/>
        </w:rPr>
      </w:pPr>
    </w:p>
    <w:p>
      <w:pPr>
        <w:pStyle w:val="3"/>
        <w:rPr>
          <w:rFonts w:ascii="等线" w:hAnsi="等线"/>
        </w:rPr>
      </w:pPr>
    </w:p>
    <w:p>
      <w:pPr>
        <w:pStyle w:val="3"/>
      </w:pPr>
      <w:r>
        <w:rPr>
          <w:rFonts w:ascii="等线" w:hAnsi="等线"/>
        </w:rPr>
        <w:t>三、加分项评分表（最高加</w:t>
      </w:r>
      <w:r>
        <w:t>10</w:t>
      </w:r>
      <w:r>
        <w:rPr>
          <w:rFonts w:ascii="等线" w:hAnsi="等线"/>
        </w:rPr>
        <w:t>分，可累加）</w:t>
      </w:r>
    </w:p>
    <w:tbl>
      <w:tblPr>
        <w:tblStyle w:val="9"/>
        <w:tblW w:w="8548" w:type="dxa"/>
        <w:jc w:val="center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7"/>
        <w:gridCol w:w="2137"/>
        <w:gridCol w:w="213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 xml:space="preserve"> </w:t>
            </w:r>
            <w:r>
              <w:rPr>
                <w:rFonts w:ascii="等线" w:hAnsi="等线"/>
              </w:rPr>
              <w:t>加分项目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ascii="等线" w:hAnsi="等线"/>
              </w:rPr>
              <w:t>分值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hint="eastAsia" w:ascii="等线" w:hAnsi="等线"/>
              </w:rPr>
              <w:t>说明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ascii="等线" w:hAnsi="等线"/>
              </w:rPr>
              <w:t>加分得分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</w:t>
            </w:r>
            <w:r>
              <w:rPr>
                <w:rFonts w:ascii="等线" w:hAnsi="等线"/>
              </w:rPr>
              <w:t>获评县级及以上示范主体、农业产业化龙头企业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</w:rPr>
              <w:t>获评县级及以上示范主体</w:t>
            </w:r>
            <w:r>
              <w:rPr>
                <w:rFonts w:hint="eastAsia" w:ascii="等线" w:hAnsi="等线"/>
              </w:rPr>
              <w:t>2分</w:t>
            </w:r>
            <w:r>
              <w:rPr>
                <w:rFonts w:ascii="等线" w:hAnsi="等线"/>
              </w:rPr>
              <w:t>、农业产业化龙头企业</w:t>
            </w:r>
            <w:r>
              <w:rPr>
                <w:rFonts w:hint="eastAsia" w:ascii="等线" w:hAnsi="等线"/>
              </w:rPr>
              <w:t>2分，可累加，最多可得4分，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2.</w:t>
            </w:r>
            <w:r>
              <w:rPr>
                <w:rFonts w:ascii="等线" w:hAnsi="等线"/>
              </w:rPr>
              <w:t>近</w:t>
            </w:r>
            <w:r>
              <w:t>2</w:t>
            </w:r>
            <w:r>
              <w:rPr>
                <w:rFonts w:ascii="等线" w:hAnsi="等线"/>
              </w:rPr>
              <w:t>年承接示范项目且验收优秀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hint="eastAsia"/>
              </w:rPr>
              <w:t>承接区级以上示范、试验项目，每个加1分，</w:t>
            </w:r>
            <w:r>
              <w:rPr>
                <w:rFonts w:hint="eastAsia" w:ascii="等线" w:hAnsi="等线"/>
              </w:rPr>
              <w:t>可累加，最多可得4分。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</w:t>
            </w:r>
            <w:r>
              <w:rPr>
                <w:rFonts w:ascii="等线" w:hAnsi="等线"/>
              </w:rPr>
              <w:t>配备智慧农业设施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t>2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hint="eastAsia"/>
              </w:rPr>
              <w:t>配备完善智能施肥设施（装备肥、水自动感应系统）可得2分。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rFonts w:ascii="等线" w:hAnsi="等线"/>
                <w:b/>
                <w:bCs/>
              </w:rPr>
              <w:t>加分得分合计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——</w:t>
            </w:r>
          </w:p>
        </w:tc>
        <w:tc>
          <w:tcPr>
            <w:tcW w:w="2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3"/>
      </w:pPr>
      <w:r>
        <w:rPr>
          <w:rFonts w:ascii="等线" w:hAnsi="等线"/>
        </w:rPr>
        <w:t>四、评审汇总结果</w:t>
      </w:r>
    </w:p>
    <w:p>
      <w:pPr>
        <w:pStyle w:val="16"/>
      </w:pPr>
      <w:r>
        <w:rPr>
          <w:rFonts w:ascii="等线" w:hAnsi="等线"/>
        </w:rPr>
        <w:t>基础总分：</w:t>
      </w:r>
      <w:r>
        <w:t>______</w:t>
      </w:r>
      <w:r>
        <w:rPr>
          <w:rFonts w:ascii="等线" w:hAnsi="等线"/>
        </w:rPr>
        <w:t>分加分总分：</w:t>
      </w:r>
      <w:r>
        <w:t>______</w:t>
      </w:r>
      <w:r>
        <w:rPr>
          <w:rFonts w:ascii="等线" w:hAnsi="等线"/>
        </w:rPr>
        <w:t>分</w:t>
      </w:r>
      <w:r>
        <w:rPr>
          <w:rFonts w:ascii="等线" w:hAnsi="等线"/>
          <w:b/>
          <w:bCs/>
        </w:rPr>
        <w:t>最终综合得分：</w:t>
      </w:r>
      <w:r>
        <w:rPr>
          <w:b/>
          <w:bCs/>
        </w:rPr>
        <w:t>______</w:t>
      </w:r>
      <w:r>
        <w:rPr>
          <w:rFonts w:ascii="等线" w:hAnsi="等线"/>
          <w:b/>
          <w:bCs/>
        </w:rPr>
        <w:t>分</w:t>
      </w:r>
    </w:p>
    <w:p>
      <w:pPr>
        <w:pStyle w:val="3"/>
      </w:pPr>
      <w:r>
        <w:rPr>
          <w:rFonts w:ascii="等线" w:hAnsi="等线"/>
        </w:rPr>
        <w:t>五、评审意见</w:t>
      </w:r>
    </w:p>
    <w:p>
      <w:pPr>
        <w:pStyle w:val="16"/>
      </w:pPr>
      <w:r>
        <w:t xml:space="preserve">□ </w:t>
      </w:r>
      <w:r>
        <w:rPr>
          <w:rFonts w:ascii="等线" w:hAnsi="等线"/>
        </w:rPr>
        <w:t>符合遴选条件，建议入选</w:t>
      </w:r>
      <w:r>
        <w:t xml:space="preserve">□ </w:t>
      </w:r>
      <w:r>
        <w:rPr>
          <w:rFonts w:ascii="等线" w:hAnsi="等线"/>
        </w:rPr>
        <w:t>纳入储备备选主体</w:t>
      </w:r>
      <w:r>
        <w:t xml:space="preserve">□ </w:t>
      </w:r>
      <w:r>
        <w:rPr>
          <w:rFonts w:ascii="等线" w:hAnsi="等线"/>
        </w:rPr>
        <w:t>不符合要求，不予入选</w:t>
      </w:r>
    </w:p>
    <w:p>
      <w:pPr>
        <w:pStyle w:val="16"/>
        <w:rPr>
          <w:rFonts w:ascii="等线" w:hAnsi="等线"/>
        </w:rPr>
      </w:pPr>
      <w:r>
        <w:rPr>
          <w:rFonts w:ascii="等线" w:hAnsi="等线"/>
        </w:rPr>
        <w:t>评审专家签字：</w:t>
      </w:r>
      <w:r>
        <w:t>__________</w:t>
      </w:r>
      <w:r>
        <w:rPr>
          <w:rFonts w:ascii="等线" w:hAnsi="等线"/>
        </w:rPr>
        <w:t>评审日期：</w:t>
      </w:r>
      <w:r>
        <w:t>______</w:t>
      </w:r>
      <w:r>
        <w:rPr>
          <w:rFonts w:ascii="等线" w:hAnsi="等线"/>
        </w:rPr>
        <w:t>年</w:t>
      </w:r>
      <w:r>
        <w:t>____</w:t>
      </w:r>
      <w:r>
        <w:rPr>
          <w:rFonts w:ascii="等线" w:hAnsi="等线"/>
        </w:rPr>
        <w:t>月</w:t>
      </w:r>
      <w:r>
        <w:t>____</w:t>
      </w:r>
      <w:r>
        <w:rPr>
          <w:rFonts w:ascii="等线" w:hAnsi="等线"/>
        </w:rPr>
        <w:t>日</w:t>
      </w:r>
    </w:p>
    <w:p>
      <w:pPr>
        <w:pStyle w:val="16"/>
        <w:rPr>
          <w:rFonts w:ascii="等线" w:hAnsi="等线"/>
        </w:rPr>
      </w:pP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-182880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5joD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5E"/>
    <w:rsid w:val="001A5331"/>
    <w:rsid w:val="002E3E75"/>
    <w:rsid w:val="003B63FC"/>
    <w:rsid w:val="003B6DAB"/>
    <w:rsid w:val="004903B4"/>
    <w:rsid w:val="004C06D1"/>
    <w:rsid w:val="006C3DB0"/>
    <w:rsid w:val="007E5F2A"/>
    <w:rsid w:val="00812BA0"/>
    <w:rsid w:val="008F355E"/>
    <w:rsid w:val="00912BE5"/>
    <w:rsid w:val="00933A57"/>
    <w:rsid w:val="00933E4B"/>
    <w:rsid w:val="00A01C88"/>
    <w:rsid w:val="00AC363B"/>
    <w:rsid w:val="00B46BD5"/>
    <w:rsid w:val="00BF280D"/>
    <w:rsid w:val="00C31EE2"/>
    <w:rsid w:val="00D0040E"/>
    <w:rsid w:val="00D434F9"/>
    <w:rsid w:val="00EC5D48"/>
    <w:rsid w:val="00F256DF"/>
    <w:rsid w:val="00F51CA4"/>
    <w:rsid w:val="02D74BBB"/>
    <w:rsid w:val="04A62A72"/>
    <w:rsid w:val="07202050"/>
    <w:rsid w:val="0916146A"/>
    <w:rsid w:val="0EA46863"/>
    <w:rsid w:val="211C37E3"/>
    <w:rsid w:val="240B37E7"/>
    <w:rsid w:val="24DF6949"/>
    <w:rsid w:val="26F55DD5"/>
    <w:rsid w:val="29904F07"/>
    <w:rsid w:val="301F41F4"/>
    <w:rsid w:val="46804C3A"/>
    <w:rsid w:val="476C68EA"/>
    <w:rsid w:val="49ED0D7E"/>
    <w:rsid w:val="4CE16133"/>
    <w:rsid w:val="4FB23B68"/>
    <w:rsid w:val="4FCD24CE"/>
    <w:rsid w:val="525569AF"/>
    <w:rsid w:val="53781023"/>
    <w:rsid w:val="597C1172"/>
    <w:rsid w:val="5C8C39DA"/>
    <w:rsid w:val="626661C2"/>
    <w:rsid w:val="63E3671A"/>
    <w:rsid w:val="6BD414D3"/>
    <w:rsid w:val="6C6D0B10"/>
    <w:rsid w:val="76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380" w:after="140" w:line="288" w:lineRule="auto"/>
      <w:jc w:val="left"/>
      <w:outlineLvl w:val="0"/>
    </w:pPr>
    <w:rPr>
      <w:rFonts w:ascii="Arial" w:hAnsi="Arial" w:eastAsia="等线" w:cs="Arial"/>
      <w:b/>
      <w:bCs/>
      <w:kern w:val="0"/>
      <w:sz w:val="36"/>
      <w:szCs w:val="36"/>
    </w:rPr>
  </w:style>
  <w:style w:type="paragraph" w:styleId="3">
    <w:name w:val="heading 2"/>
    <w:basedOn w:val="1"/>
    <w:next w:val="1"/>
    <w:link w:val="12"/>
    <w:qFormat/>
    <w:uiPriority w:val="99"/>
    <w:pPr>
      <w:widowControl/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widowControl/>
      <w:spacing w:before="300" w:after="120" w:line="288" w:lineRule="auto"/>
      <w:jc w:val="left"/>
      <w:outlineLvl w:val="2"/>
    </w:pPr>
    <w:rPr>
      <w:rFonts w:ascii="Arial" w:hAnsi="Arial" w:eastAsia="等线" w:cs="Arial"/>
      <w:b/>
      <w:bCs/>
      <w:kern w:val="0"/>
      <w:sz w:val="30"/>
      <w:szCs w:val="30"/>
    </w:rPr>
  </w:style>
  <w:style w:type="paragraph" w:styleId="5">
    <w:name w:val="heading 4"/>
    <w:basedOn w:val="1"/>
    <w:next w:val="1"/>
    <w:link w:val="14"/>
    <w:qFormat/>
    <w:uiPriority w:val="99"/>
    <w:pPr>
      <w:widowControl/>
      <w:spacing w:before="260" w:after="120" w:line="288" w:lineRule="auto"/>
      <w:jc w:val="left"/>
      <w:outlineLvl w:val="3"/>
    </w:pPr>
    <w:rPr>
      <w:rFonts w:ascii="Arial" w:hAnsi="Arial" w:eastAsia="等线" w:cs="Arial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ascii="等线" w:hAnsi="等线" w:eastAsia="等线"/>
      <w:kern w:val="0"/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link w:val="15"/>
    <w:qFormat/>
    <w:uiPriority w:val="99"/>
    <w:pPr>
      <w:widowControl/>
      <w:spacing w:before="480" w:after="480" w:line="288" w:lineRule="auto"/>
      <w:jc w:val="left"/>
    </w:pPr>
    <w:rPr>
      <w:rFonts w:ascii="Arial" w:hAnsi="Arial" w:eastAsia="等线" w:cs="Arial"/>
      <w:b/>
      <w:bCs/>
      <w:kern w:val="0"/>
      <w:sz w:val="52"/>
      <w:szCs w:val="52"/>
    </w:rPr>
  </w:style>
  <w:style w:type="character" w:customStyle="1" w:styleId="11">
    <w:name w:val="标题 1 Char"/>
    <w:basedOn w:val="10"/>
    <w:link w:val="2"/>
    <w:qFormat/>
    <w:uiPriority w:val="99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2">
    <w:name w:val="标题 2 Char"/>
    <w:basedOn w:val="10"/>
    <w:link w:val="3"/>
    <w:qFormat/>
    <w:uiPriority w:val="99"/>
    <w:rPr>
      <w:rFonts w:ascii="Arial" w:hAnsi="Arial" w:eastAsia="等线" w:cs="Arial"/>
      <w:b/>
      <w:bCs/>
      <w:kern w:val="0"/>
      <w:sz w:val="32"/>
      <w:szCs w:val="32"/>
    </w:rPr>
  </w:style>
  <w:style w:type="character" w:customStyle="1" w:styleId="13">
    <w:name w:val="标题 3 Char"/>
    <w:basedOn w:val="10"/>
    <w:link w:val="4"/>
    <w:qFormat/>
    <w:uiPriority w:val="99"/>
    <w:rPr>
      <w:rFonts w:ascii="Arial" w:hAnsi="Arial" w:eastAsia="等线" w:cs="Arial"/>
      <w:b/>
      <w:bCs/>
      <w:kern w:val="0"/>
      <w:sz w:val="30"/>
      <w:szCs w:val="30"/>
    </w:rPr>
  </w:style>
  <w:style w:type="character" w:customStyle="1" w:styleId="14">
    <w:name w:val="标题 4 Char"/>
    <w:basedOn w:val="10"/>
    <w:link w:val="5"/>
    <w:qFormat/>
    <w:uiPriority w:val="99"/>
    <w:rPr>
      <w:rFonts w:ascii="Arial" w:hAnsi="Arial" w:eastAsia="等线" w:cs="Arial"/>
      <w:b/>
      <w:bCs/>
      <w:kern w:val="0"/>
      <w:sz w:val="28"/>
      <w:szCs w:val="28"/>
    </w:rPr>
  </w:style>
  <w:style w:type="character" w:customStyle="1" w:styleId="15">
    <w:name w:val="标题 Char"/>
    <w:basedOn w:val="10"/>
    <w:link w:val="8"/>
    <w:qFormat/>
    <w:uiPriority w:val="99"/>
    <w:rPr>
      <w:rFonts w:ascii="Arial" w:hAnsi="Arial" w:eastAsia="等线" w:cs="Arial"/>
      <w:b/>
      <w:bCs/>
      <w:kern w:val="0"/>
      <w:sz w:val="52"/>
      <w:szCs w:val="52"/>
    </w:rPr>
  </w:style>
  <w:style w:type="paragraph" w:customStyle="1" w:styleId="16">
    <w:name w:val="_Style 13"/>
    <w:basedOn w:val="1"/>
    <w:qFormat/>
    <w:uiPriority w:val="0"/>
    <w:pPr>
      <w:widowControl/>
      <w:spacing w:before="120" w:after="120" w:line="288" w:lineRule="auto"/>
      <w:jc w:val="left"/>
    </w:pPr>
    <w:rPr>
      <w:rFonts w:ascii="Arial" w:hAnsi="Arial" w:eastAsia="等线" w:cs="Arial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632</Words>
  <Characters>3603</Characters>
  <Lines>30</Lines>
  <Paragraphs>8</Paragraphs>
  <TotalTime>13</TotalTime>
  <ScaleCrop>false</ScaleCrop>
  <LinksUpToDate>false</LinksUpToDate>
  <CharactersWithSpaces>4227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2026-07-03T08:11:00Z</dcterms:created>
  <dc:creator>Administrator</dc:creator>
  <cp:lastModifiedBy>、</cp:lastModifiedBy>
  <dcterms:modified xsi:type="dcterms:W3CDTF">2026-07-03T08:24:09Z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eyJoZGlkIjoiMDg3N2Y0NWFkN2Q2ZTQ2N2RjN2Y4ZTE2MDM4NThkYTUiLCJ1c2VySWQiOiI1NDE1NDE2MjIifQ==</vt:lpwstr>
  </property>
  <property fmtid="{D5CDD505-2E9C-101B-9397-08002B2CF9AE}" pid="3" name="KSOProductBuildVer">
    <vt:lpwstr>2052-11.1.0.9021</vt:lpwstr>
  </property>
  <property fmtid="{D5CDD505-2E9C-101B-9397-08002B2CF9AE}" pid="4" name="ICV">
    <vt:lpwstr>3BFA0AC5A98146F08A35AF32226326F7_13</vt:lpwstr>
  </property>
</Properties>
</file>