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CAD0A">
      <w:pPr>
        <w:spacing w:line="576" w:lineRule="exact"/>
        <w:rPr>
          <w:rFonts w:hint="eastAsia" w:ascii="黑体" w:hAnsi="黑体" w:eastAsia="黑体" w:cs="黑体"/>
          <w:sz w:val="32"/>
          <w:szCs w:val="32"/>
        </w:rPr>
      </w:pPr>
      <w:r>
        <w:rPr>
          <w:rFonts w:hint="eastAsia" w:ascii="黑体" w:hAnsi="黑体" w:eastAsia="黑体" w:cs="黑体"/>
          <w:sz w:val="32"/>
          <w:szCs w:val="32"/>
        </w:rPr>
        <w:t>附件</w:t>
      </w:r>
    </w:p>
    <w:p w14:paraId="75F035A4">
      <w:pPr>
        <w:spacing w:line="576" w:lineRule="exact"/>
        <w:jc w:val="center"/>
        <w:rPr>
          <w:rFonts w:hint="eastAsia" w:ascii="方正小标宋简体" w:hAnsi="Calibri" w:eastAsia="方正小标宋简体" w:cs="Times New Roman"/>
          <w:bCs/>
          <w:sz w:val="36"/>
          <w:szCs w:val="36"/>
        </w:rPr>
      </w:pPr>
      <w:r>
        <w:rPr>
          <w:rFonts w:hint="eastAsia" w:ascii="方正小标宋简体" w:hAnsi="Calibri" w:eastAsia="方正小标宋简体" w:cs="Times New Roman"/>
          <w:bCs/>
          <w:sz w:val="40"/>
          <w:szCs w:val="40"/>
        </w:rPr>
        <w:t>202</w:t>
      </w:r>
      <w:r>
        <w:rPr>
          <w:rFonts w:hint="eastAsia" w:ascii="方正小标宋简体" w:hAnsi="Calibri" w:eastAsia="方正小标宋简体" w:cs="Times New Roman"/>
          <w:bCs/>
          <w:sz w:val="40"/>
          <w:szCs w:val="40"/>
          <w:lang w:val="en-US" w:eastAsia="zh-CN"/>
        </w:rPr>
        <w:t>5</w:t>
      </w:r>
      <w:bookmarkStart w:id="0" w:name="_GoBack"/>
      <w:bookmarkEnd w:id="0"/>
      <w:r>
        <w:rPr>
          <w:rFonts w:hint="eastAsia" w:ascii="方正小标宋简体" w:hAnsi="Calibri" w:eastAsia="方正小标宋简体" w:cs="Times New Roman"/>
          <w:bCs/>
          <w:sz w:val="40"/>
          <w:szCs w:val="40"/>
        </w:rPr>
        <w:t>年度部门整体支出绩效自评指标计分表</w:t>
      </w:r>
    </w:p>
    <w:p w14:paraId="462801E1">
      <w:pPr>
        <w:spacing w:before="156" w:beforeLines="50" w:after="156" w:afterLines="50" w:line="360" w:lineRule="exact"/>
        <w:jc w:val="center"/>
        <w:rPr>
          <w:rFonts w:hint="eastAsia" w:ascii="楷体_GB2312" w:hAnsi="楷体_GB2312" w:eastAsia="楷体_GB2312" w:cs="楷体_GB2312"/>
          <w:sz w:val="24"/>
          <w:szCs w:val="22"/>
        </w:rPr>
      </w:pPr>
      <w:r>
        <w:rPr>
          <w:rFonts w:hint="eastAsia" w:ascii="楷体_GB2312" w:hAnsi="楷体_GB2312" w:eastAsia="楷体_GB2312" w:cs="楷体_GB2312"/>
          <w:b/>
          <w:bCs/>
          <w:sz w:val="24"/>
          <w:szCs w:val="22"/>
        </w:rPr>
        <w:t>单位：赫山区委办公室自评分：96分</w:t>
      </w:r>
    </w:p>
    <w:tbl>
      <w:tblPr>
        <w:tblStyle w:val="2"/>
        <w:tblW w:w="9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776"/>
        <w:gridCol w:w="703"/>
        <w:gridCol w:w="446"/>
        <w:gridCol w:w="2605"/>
        <w:gridCol w:w="3945"/>
      </w:tblGrid>
      <w:tr w14:paraId="064F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684" w:type="dxa"/>
            <w:noWrap w:val="0"/>
            <w:tcMar>
              <w:top w:w="10" w:type="dxa"/>
              <w:left w:w="10" w:type="dxa"/>
              <w:bottom w:w="0" w:type="dxa"/>
              <w:right w:w="10" w:type="dxa"/>
            </w:tcMar>
            <w:vAlign w:val="center"/>
          </w:tcPr>
          <w:p w14:paraId="2A2C278C">
            <w:pPr>
              <w:spacing w:line="280" w:lineRule="exact"/>
              <w:ind w:left="-42" w:leftChars="-20" w:right="-42" w:rightChars="-20"/>
              <w:jc w:val="center"/>
              <w:rPr>
                <w:rFonts w:hint="eastAsia" w:ascii="黑体" w:hAnsi="黑体" w:eastAsia="黑体" w:cs="黑体"/>
                <w:bCs/>
                <w:spacing w:val="-6"/>
                <w:sz w:val="20"/>
                <w:szCs w:val="20"/>
              </w:rPr>
            </w:pPr>
            <w:r>
              <w:rPr>
                <w:rFonts w:hint="eastAsia" w:ascii="黑体" w:hAnsi="黑体" w:eastAsia="黑体" w:cs="黑体"/>
                <w:bCs/>
                <w:spacing w:val="-6"/>
                <w:sz w:val="20"/>
                <w:szCs w:val="20"/>
              </w:rPr>
              <w:t>一级</w:t>
            </w:r>
          </w:p>
          <w:p w14:paraId="55661E8B">
            <w:pPr>
              <w:spacing w:line="280" w:lineRule="exact"/>
              <w:ind w:left="-42" w:leftChars="-20" w:right="-42" w:rightChars="-20"/>
              <w:jc w:val="center"/>
              <w:rPr>
                <w:rFonts w:hint="eastAsia" w:ascii="黑体" w:hAnsi="黑体" w:eastAsia="黑体" w:cs="黑体"/>
                <w:bCs/>
                <w:spacing w:val="-6"/>
                <w:sz w:val="20"/>
                <w:szCs w:val="20"/>
              </w:rPr>
            </w:pPr>
            <w:r>
              <w:rPr>
                <w:rFonts w:hint="eastAsia" w:ascii="黑体" w:hAnsi="黑体" w:eastAsia="黑体" w:cs="黑体"/>
                <w:bCs/>
                <w:spacing w:val="-6"/>
                <w:sz w:val="20"/>
                <w:szCs w:val="20"/>
              </w:rPr>
              <w:t>指标</w:t>
            </w:r>
          </w:p>
        </w:tc>
        <w:tc>
          <w:tcPr>
            <w:tcW w:w="776" w:type="dxa"/>
            <w:noWrap w:val="0"/>
            <w:tcMar>
              <w:top w:w="10" w:type="dxa"/>
              <w:left w:w="10" w:type="dxa"/>
              <w:bottom w:w="0" w:type="dxa"/>
              <w:right w:w="10" w:type="dxa"/>
            </w:tcMar>
            <w:vAlign w:val="center"/>
          </w:tcPr>
          <w:p w14:paraId="1C8244B6">
            <w:pPr>
              <w:spacing w:line="280" w:lineRule="exact"/>
              <w:jc w:val="center"/>
              <w:rPr>
                <w:rFonts w:hint="eastAsia" w:ascii="黑体" w:hAnsi="黑体" w:eastAsia="黑体" w:cs="黑体"/>
                <w:bCs/>
                <w:sz w:val="20"/>
                <w:szCs w:val="20"/>
              </w:rPr>
            </w:pPr>
            <w:r>
              <w:rPr>
                <w:rFonts w:hint="eastAsia" w:ascii="黑体" w:hAnsi="黑体" w:eastAsia="黑体" w:cs="黑体"/>
                <w:bCs/>
                <w:sz w:val="20"/>
                <w:szCs w:val="20"/>
              </w:rPr>
              <w:t>二级</w:t>
            </w:r>
          </w:p>
          <w:p w14:paraId="51B36CEC">
            <w:pPr>
              <w:spacing w:line="280" w:lineRule="exact"/>
              <w:jc w:val="center"/>
              <w:rPr>
                <w:rFonts w:hint="eastAsia" w:ascii="黑体" w:hAnsi="黑体" w:eastAsia="黑体" w:cs="黑体"/>
                <w:bCs/>
                <w:sz w:val="20"/>
                <w:szCs w:val="20"/>
              </w:rPr>
            </w:pPr>
            <w:r>
              <w:rPr>
                <w:rFonts w:hint="eastAsia" w:ascii="黑体" w:hAnsi="黑体" w:eastAsia="黑体" w:cs="黑体"/>
                <w:bCs/>
                <w:sz w:val="20"/>
                <w:szCs w:val="20"/>
              </w:rPr>
              <w:t>指标</w:t>
            </w:r>
          </w:p>
        </w:tc>
        <w:tc>
          <w:tcPr>
            <w:tcW w:w="703" w:type="dxa"/>
            <w:noWrap w:val="0"/>
            <w:tcMar>
              <w:top w:w="10" w:type="dxa"/>
              <w:left w:w="10" w:type="dxa"/>
              <w:bottom w:w="0" w:type="dxa"/>
              <w:right w:w="10" w:type="dxa"/>
            </w:tcMar>
            <w:vAlign w:val="center"/>
          </w:tcPr>
          <w:p w14:paraId="497560EC">
            <w:pPr>
              <w:spacing w:line="280" w:lineRule="exact"/>
              <w:jc w:val="center"/>
              <w:rPr>
                <w:rFonts w:hint="eastAsia" w:ascii="黑体" w:hAnsi="黑体" w:eastAsia="黑体" w:cs="黑体"/>
                <w:bCs/>
                <w:sz w:val="20"/>
                <w:szCs w:val="20"/>
              </w:rPr>
            </w:pPr>
            <w:r>
              <w:rPr>
                <w:rFonts w:hint="eastAsia" w:ascii="黑体" w:hAnsi="黑体" w:eastAsia="黑体" w:cs="黑体"/>
                <w:bCs/>
                <w:sz w:val="20"/>
                <w:szCs w:val="20"/>
              </w:rPr>
              <w:t>三级</w:t>
            </w:r>
          </w:p>
          <w:p w14:paraId="2E9BACAC">
            <w:pPr>
              <w:spacing w:line="280" w:lineRule="exact"/>
              <w:jc w:val="center"/>
              <w:rPr>
                <w:rFonts w:hint="eastAsia" w:ascii="黑体" w:hAnsi="黑体" w:eastAsia="黑体" w:cs="黑体"/>
                <w:bCs/>
                <w:sz w:val="20"/>
                <w:szCs w:val="20"/>
              </w:rPr>
            </w:pPr>
            <w:r>
              <w:rPr>
                <w:rFonts w:hint="eastAsia" w:ascii="黑体" w:hAnsi="黑体" w:eastAsia="黑体" w:cs="黑体"/>
                <w:bCs/>
                <w:sz w:val="20"/>
                <w:szCs w:val="20"/>
              </w:rPr>
              <w:t>指标</w:t>
            </w:r>
          </w:p>
        </w:tc>
        <w:tc>
          <w:tcPr>
            <w:tcW w:w="446" w:type="dxa"/>
            <w:noWrap w:val="0"/>
            <w:tcMar>
              <w:top w:w="10" w:type="dxa"/>
              <w:left w:w="10" w:type="dxa"/>
              <w:bottom w:w="0" w:type="dxa"/>
              <w:right w:w="10" w:type="dxa"/>
            </w:tcMar>
            <w:vAlign w:val="center"/>
          </w:tcPr>
          <w:p w14:paraId="2B873F85">
            <w:pPr>
              <w:spacing w:line="280" w:lineRule="exact"/>
              <w:jc w:val="center"/>
              <w:rPr>
                <w:rFonts w:hint="eastAsia" w:ascii="黑体" w:hAnsi="黑体" w:eastAsia="黑体" w:cs="黑体"/>
                <w:bCs/>
                <w:sz w:val="20"/>
                <w:szCs w:val="20"/>
              </w:rPr>
            </w:pPr>
            <w:r>
              <w:rPr>
                <w:rFonts w:hint="eastAsia" w:ascii="黑体" w:hAnsi="黑体" w:eastAsia="黑体" w:cs="黑体"/>
                <w:bCs/>
                <w:sz w:val="20"/>
                <w:szCs w:val="20"/>
              </w:rPr>
              <w:t>自评分</w:t>
            </w:r>
          </w:p>
        </w:tc>
        <w:tc>
          <w:tcPr>
            <w:tcW w:w="2605" w:type="dxa"/>
            <w:noWrap w:val="0"/>
            <w:tcMar>
              <w:top w:w="10" w:type="dxa"/>
              <w:left w:w="10" w:type="dxa"/>
              <w:bottom w:w="0" w:type="dxa"/>
              <w:right w:w="10" w:type="dxa"/>
            </w:tcMar>
            <w:vAlign w:val="center"/>
          </w:tcPr>
          <w:p w14:paraId="0885B6CB">
            <w:pPr>
              <w:spacing w:line="280" w:lineRule="exact"/>
              <w:ind w:left="42" w:leftChars="20" w:right="42" w:rightChars="20"/>
              <w:jc w:val="center"/>
              <w:rPr>
                <w:rFonts w:hint="eastAsia" w:ascii="黑体" w:hAnsi="黑体" w:eastAsia="黑体" w:cs="黑体"/>
                <w:bCs/>
                <w:sz w:val="20"/>
                <w:szCs w:val="20"/>
              </w:rPr>
            </w:pPr>
            <w:r>
              <w:rPr>
                <w:rFonts w:hint="eastAsia" w:ascii="黑体" w:hAnsi="黑体" w:eastAsia="黑体" w:cs="黑体"/>
                <w:bCs/>
                <w:sz w:val="20"/>
                <w:szCs w:val="20"/>
              </w:rPr>
              <w:t>指标解释</w:t>
            </w:r>
          </w:p>
        </w:tc>
        <w:tc>
          <w:tcPr>
            <w:tcW w:w="3945" w:type="dxa"/>
            <w:noWrap w:val="0"/>
            <w:tcMar>
              <w:top w:w="10" w:type="dxa"/>
              <w:left w:w="10" w:type="dxa"/>
              <w:bottom w:w="0" w:type="dxa"/>
              <w:right w:w="10" w:type="dxa"/>
            </w:tcMar>
            <w:vAlign w:val="center"/>
          </w:tcPr>
          <w:p w14:paraId="7501E20E">
            <w:pPr>
              <w:spacing w:line="280" w:lineRule="exact"/>
              <w:ind w:left="42" w:leftChars="20" w:right="42" w:rightChars="20"/>
              <w:jc w:val="center"/>
              <w:rPr>
                <w:rFonts w:hint="eastAsia" w:ascii="黑体" w:hAnsi="黑体" w:eastAsia="黑体" w:cs="黑体"/>
                <w:bCs/>
                <w:sz w:val="20"/>
                <w:szCs w:val="20"/>
              </w:rPr>
            </w:pPr>
            <w:r>
              <w:rPr>
                <w:rFonts w:hint="eastAsia" w:ascii="黑体" w:hAnsi="黑体" w:eastAsia="黑体" w:cs="黑体"/>
                <w:bCs/>
                <w:sz w:val="20"/>
                <w:szCs w:val="20"/>
              </w:rPr>
              <w:t>指标说明</w:t>
            </w:r>
          </w:p>
        </w:tc>
      </w:tr>
      <w:tr w14:paraId="24F7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jc w:val="center"/>
        </w:trPr>
        <w:tc>
          <w:tcPr>
            <w:tcW w:w="684" w:type="dxa"/>
            <w:vMerge w:val="restart"/>
            <w:noWrap w:val="0"/>
            <w:tcMar>
              <w:top w:w="10" w:type="dxa"/>
              <w:left w:w="10" w:type="dxa"/>
              <w:bottom w:w="0" w:type="dxa"/>
              <w:right w:w="10" w:type="dxa"/>
            </w:tcMar>
            <w:vAlign w:val="center"/>
          </w:tcPr>
          <w:p w14:paraId="7866F94C">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投入</w:t>
            </w:r>
          </w:p>
          <w:p w14:paraId="26CD4E5C">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（20分）</w:t>
            </w:r>
          </w:p>
        </w:tc>
        <w:tc>
          <w:tcPr>
            <w:tcW w:w="776" w:type="dxa"/>
            <w:vMerge w:val="restart"/>
            <w:noWrap w:val="0"/>
            <w:tcMar>
              <w:top w:w="10" w:type="dxa"/>
              <w:left w:w="10" w:type="dxa"/>
              <w:bottom w:w="0" w:type="dxa"/>
              <w:right w:w="10" w:type="dxa"/>
            </w:tcMar>
            <w:vAlign w:val="center"/>
          </w:tcPr>
          <w:p w14:paraId="35E958C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目标</w:t>
            </w:r>
          </w:p>
          <w:p w14:paraId="03F8628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设定</w:t>
            </w:r>
          </w:p>
          <w:p w14:paraId="4731029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703" w:type="dxa"/>
            <w:noWrap w:val="0"/>
            <w:tcMar>
              <w:top w:w="10" w:type="dxa"/>
              <w:left w:w="10" w:type="dxa"/>
              <w:bottom w:w="0" w:type="dxa"/>
              <w:right w:w="10" w:type="dxa"/>
            </w:tcMar>
            <w:vAlign w:val="center"/>
          </w:tcPr>
          <w:p w14:paraId="0074EC7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绩效</w:t>
            </w:r>
          </w:p>
          <w:p w14:paraId="123AC8D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目标</w:t>
            </w:r>
          </w:p>
          <w:p w14:paraId="6B13A62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合理性（2分）</w:t>
            </w:r>
          </w:p>
        </w:tc>
        <w:tc>
          <w:tcPr>
            <w:tcW w:w="446" w:type="dxa"/>
            <w:noWrap w:val="0"/>
            <w:tcMar>
              <w:top w:w="10" w:type="dxa"/>
              <w:left w:w="10" w:type="dxa"/>
              <w:bottom w:w="0" w:type="dxa"/>
              <w:right w:w="10" w:type="dxa"/>
            </w:tcMar>
            <w:vAlign w:val="center"/>
          </w:tcPr>
          <w:p w14:paraId="3944836E">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0B073AE8">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部门所设立的整体绩效目标依据是否充分，是否符合客观实际，用以反映和考核部门整体绩效目标与部门履职、年度工作任务的相符性情况。</w:t>
            </w:r>
          </w:p>
        </w:tc>
        <w:tc>
          <w:tcPr>
            <w:tcW w:w="3945" w:type="dxa"/>
            <w:noWrap w:val="0"/>
            <w:tcMar>
              <w:top w:w="10" w:type="dxa"/>
              <w:left w:w="10" w:type="dxa"/>
              <w:bottom w:w="0" w:type="dxa"/>
              <w:right w:w="10" w:type="dxa"/>
            </w:tcMar>
            <w:vAlign w:val="center"/>
          </w:tcPr>
          <w:p w14:paraId="1CF9F9EC">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①符合国家法律法规、国民经济和社会发展总体规划计1分；②符合部门“三定”方案确定的职责计0.5分；③是否符合部门制定的中长期实施规划计0.5分。</w:t>
            </w:r>
          </w:p>
        </w:tc>
      </w:tr>
      <w:tr w14:paraId="6E261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0" w:hRule="atLeast"/>
          <w:jc w:val="center"/>
        </w:trPr>
        <w:tc>
          <w:tcPr>
            <w:tcW w:w="684" w:type="dxa"/>
            <w:vMerge w:val="continue"/>
            <w:noWrap w:val="0"/>
            <w:vAlign w:val="center"/>
          </w:tcPr>
          <w:p w14:paraId="3F7E10E0">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EB2B316">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064C312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绩效</w:t>
            </w:r>
          </w:p>
          <w:p w14:paraId="48E4772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p w14:paraId="27EBD118">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明确性（3分）</w:t>
            </w:r>
          </w:p>
        </w:tc>
        <w:tc>
          <w:tcPr>
            <w:tcW w:w="446" w:type="dxa"/>
            <w:noWrap w:val="0"/>
            <w:tcMar>
              <w:top w:w="10" w:type="dxa"/>
              <w:left w:w="10" w:type="dxa"/>
              <w:bottom w:w="0" w:type="dxa"/>
              <w:right w:w="10" w:type="dxa"/>
            </w:tcMar>
            <w:vAlign w:val="center"/>
          </w:tcPr>
          <w:p w14:paraId="781BD008">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3</w:t>
            </w:r>
          </w:p>
        </w:tc>
        <w:tc>
          <w:tcPr>
            <w:tcW w:w="2605" w:type="dxa"/>
            <w:noWrap w:val="0"/>
            <w:tcMar>
              <w:top w:w="10" w:type="dxa"/>
              <w:left w:w="10" w:type="dxa"/>
              <w:bottom w:w="0" w:type="dxa"/>
              <w:right w:w="10" w:type="dxa"/>
            </w:tcMar>
            <w:vAlign w:val="center"/>
          </w:tcPr>
          <w:p w14:paraId="0DD3C5E6">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部门依据整体绩效目标所设定的绩效指标是否清晰、细化、可衡量，用以反映和考核部门整体绩效目标的明细化情况。</w:t>
            </w:r>
          </w:p>
        </w:tc>
        <w:tc>
          <w:tcPr>
            <w:tcW w:w="3945" w:type="dxa"/>
            <w:noWrap w:val="0"/>
            <w:tcMar>
              <w:top w:w="10" w:type="dxa"/>
              <w:left w:w="10" w:type="dxa"/>
              <w:bottom w:w="0" w:type="dxa"/>
              <w:right w:w="10" w:type="dxa"/>
            </w:tcMar>
            <w:vAlign w:val="center"/>
          </w:tcPr>
          <w:p w14:paraId="5BC51C44">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①将部门整体的绩效目标细化分解为具体的工作任务计1分；②通过清晰、可衡量的指标值予以体现计0.5分。③与部门年度的任务数或计划数相对应计0.5分；④与本年度部门预算资金相匹配计1分。</w:t>
            </w:r>
          </w:p>
        </w:tc>
      </w:tr>
      <w:tr w14:paraId="60E6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5" w:hRule="atLeast"/>
          <w:jc w:val="center"/>
        </w:trPr>
        <w:tc>
          <w:tcPr>
            <w:tcW w:w="684" w:type="dxa"/>
            <w:vMerge w:val="continue"/>
            <w:noWrap w:val="0"/>
            <w:vAlign w:val="center"/>
          </w:tcPr>
          <w:p w14:paraId="1D961A62">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restart"/>
            <w:noWrap w:val="0"/>
            <w:tcMar>
              <w:top w:w="10" w:type="dxa"/>
              <w:left w:w="10" w:type="dxa"/>
              <w:bottom w:w="0" w:type="dxa"/>
              <w:right w:w="10" w:type="dxa"/>
            </w:tcMar>
            <w:vAlign w:val="center"/>
          </w:tcPr>
          <w:p w14:paraId="63EC771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7A73FCE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配置</w:t>
            </w:r>
          </w:p>
          <w:p w14:paraId="7FE6346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（15分）</w:t>
            </w:r>
          </w:p>
        </w:tc>
        <w:tc>
          <w:tcPr>
            <w:tcW w:w="703" w:type="dxa"/>
            <w:noWrap w:val="0"/>
            <w:tcMar>
              <w:top w:w="10" w:type="dxa"/>
              <w:left w:w="10" w:type="dxa"/>
              <w:bottom w:w="0" w:type="dxa"/>
              <w:right w:w="10" w:type="dxa"/>
            </w:tcMar>
            <w:vAlign w:val="center"/>
          </w:tcPr>
          <w:p w14:paraId="1FE5497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在职</w:t>
            </w:r>
          </w:p>
          <w:p w14:paraId="79C03015">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人员</w:t>
            </w:r>
          </w:p>
          <w:p w14:paraId="624DD0A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控制率（5分）</w:t>
            </w:r>
          </w:p>
        </w:tc>
        <w:tc>
          <w:tcPr>
            <w:tcW w:w="446" w:type="dxa"/>
            <w:noWrap w:val="0"/>
            <w:tcMar>
              <w:top w:w="10" w:type="dxa"/>
              <w:left w:w="10" w:type="dxa"/>
              <w:bottom w:w="0" w:type="dxa"/>
              <w:right w:w="10" w:type="dxa"/>
            </w:tcMar>
            <w:vAlign w:val="center"/>
          </w:tcPr>
          <w:p w14:paraId="38C29DB9">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w:t>
            </w:r>
          </w:p>
        </w:tc>
        <w:tc>
          <w:tcPr>
            <w:tcW w:w="2605" w:type="dxa"/>
            <w:noWrap w:val="0"/>
            <w:tcMar>
              <w:top w:w="10" w:type="dxa"/>
              <w:left w:w="10" w:type="dxa"/>
              <w:bottom w:w="0" w:type="dxa"/>
              <w:right w:w="10" w:type="dxa"/>
            </w:tcMar>
            <w:vAlign w:val="center"/>
          </w:tcPr>
          <w:p w14:paraId="6C89B859">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部门本年度实际在职人员数与编制数的比率，用以反映和考核部门对人员成本的控制程度。</w:t>
            </w:r>
          </w:p>
        </w:tc>
        <w:tc>
          <w:tcPr>
            <w:tcW w:w="3945" w:type="dxa"/>
            <w:noWrap w:val="0"/>
            <w:tcMar>
              <w:top w:w="10" w:type="dxa"/>
              <w:left w:w="10" w:type="dxa"/>
              <w:bottom w:w="0" w:type="dxa"/>
              <w:right w:w="10" w:type="dxa"/>
            </w:tcMar>
            <w:vAlign w:val="center"/>
          </w:tcPr>
          <w:p w14:paraId="2DF61FF1">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在职人员控制率=（在职人员数/编制数）×100%小于或等于1计5分，否则按比例计分。在职人员数：部门实际在职人数，以财政部确定的部门决算编制口径为准。编制数：机构编制部门核定批复的部门的人员编制数。</w:t>
            </w:r>
          </w:p>
        </w:tc>
      </w:tr>
      <w:tr w14:paraId="0883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5" w:hRule="atLeast"/>
          <w:jc w:val="center"/>
        </w:trPr>
        <w:tc>
          <w:tcPr>
            <w:tcW w:w="684" w:type="dxa"/>
            <w:vMerge w:val="continue"/>
            <w:noWrap w:val="0"/>
            <w:vAlign w:val="center"/>
          </w:tcPr>
          <w:p w14:paraId="25EC53F7">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27A8EC7">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58D021B5">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“三公经费”</w:t>
            </w:r>
          </w:p>
          <w:p w14:paraId="21A6A3A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变动率（5分）</w:t>
            </w:r>
          </w:p>
        </w:tc>
        <w:tc>
          <w:tcPr>
            <w:tcW w:w="446" w:type="dxa"/>
            <w:noWrap w:val="0"/>
            <w:tcMar>
              <w:top w:w="10" w:type="dxa"/>
              <w:left w:w="10" w:type="dxa"/>
              <w:bottom w:w="0" w:type="dxa"/>
              <w:right w:w="10" w:type="dxa"/>
            </w:tcMar>
            <w:vAlign w:val="center"/>
          </w:tcPr>
          <w:p w14:paraId="5E4A4C48">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w:t>
            </w:r>
          </w:p>
        </w:tc>
        <w:tc>
          <w:tcPr>
            <w:tcW w:w="2605" w:type="dxa"/>
            <w:noWrap w:val="0"/>
            <w:tcMar>
              <w:top w:w="10" w:type="dxa"/>
              <w:left w:w="10" w:type="dxa"/>
              <w:bottom w:w="0" w:type="dxa"/>
              <w:right w:w="10" w:type="dxa"/>
            </w:tcMar>
            <w:vAlign w:val="center"/>
          </w:tcPr>
          <w:p w14:paraId="4CB9192F">
            <w:pPr>
              <w:tabs>
                <w:tab w:val="left" w:pos="2604"/>
              </w:tabs>
              <w:spacing w:line="280" w:lineRule="exact"/>
              <w:ind w:left="42" w:leftChars="20" w:right="42" w:rightChars="20"/>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部门本年度“三公经费”预算数与上年度“三公经费”预算数的变动比率，用以反映和考核部门对控制重点行政成本的努力程度。</w:t>
            </w:r>
          </w:p>
        </w:tc>
        <w:tc>
          <w:tcPr>
            <w:tcW w:w="3945" w:type="dxa"/>
            <w:noWrap w:val="0"/>
            <w:tcMar>
              <w:top w:w="10" w:type="dxa"/>
              <w:left w:w="10" w:type="dxa"/>
              <w:bottom w:w="0" w:type="dxa"/>
              <w:right w:w="10" w:type="dxa"/>
            </w:tcMar>
            <w:vAlign w:val="center"/>
          </w:tcPr>
          <w:p w14:paraId="699BA5C7">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公经费”变动率=[（本年度“三公经费”总额-上年度“三公经费”总额）/上年度“三公经费”总额]×100%。下降的计5分，增加的按比例扣减。“三公经费”：年度预算安排的因公出国（境）费、公务车辆购置及运行费和公务招待费。</w:t>
            </w:r>
          </w:p>
        </w:tc>
      </w:tr>
      <w:tr w14:paraId="1309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5" w:hRule="atLeast"/>
          <w:jc w:val="center"/>
        </w:trPr>
        <w:tc>
          <w:tcPr>
            <w:tcW w:w="684" w:type="dxa"/>
            <w:vMerge w:val="continue"/>
            <w:noWrap w:val="0"/>
            <w:vAlign w:val="center"/>
          </w:tcPr>
          <w:p w14:paraId="480CDB2B">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D714E41">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2BD1B2B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重点</w:t>
            </w:r>
          </w:p>
          <w:p w14:paraId="18637D6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支出</w:t>
            </w:r>
          </w:p>
          <w:p w14:paraId="4C952CB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安排率（5分）</w:t>
            </w:r>
          </w:p>
        </w:tc>
        <w:tc>
          <w:tcPr>
            <w:tcW w:w="446" w:type="dxa"/>
            <w:noWrap w:val="0"/>
            <w:tcMar>
              <w:top w:w="10" w:type="dxa"/>
              <w:left w:w="10" w:type="dxa"/>
              <w:bottom w:w="0" w:type="dxa"/>
              <w:right w:w="10" w:type="dxa"/>
            </w:tcMar>
            <w:vAlign w:val="center"/>
          </w:tcPr>
          <w:p w14:paraId="215E1EAF">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w:t>
            </w:r>
          </w:p>
        </w:tc>
        <w:tc>
          <w:tcPr>
            <w:tcW w:w="2605" w:type="dxa"/>
            <w:noWrap w:val="0"/>
            <w:tcMar>
              <w:top w:w="10" w:type="dxa"/>
              <w:left w:w="10" w:type="dxa"/>
              <w:bottom w:w="0" w:type="dxa"/>
              <w:right w:w="10" w:type="dxa"/>
            </w:tcMar>
            <w:vAlign w:val="center"/>
          </w:tcPr>
          <w:p w14:paraId="4BBFC271">
            <w:pPr>
              <w:tabs>
                <w:tab w:val="left" w:pos="2604"/>
              </w:tabs>
              <w:spacing w:line="280" w:lineRule="exact"/>
              <w:ind w:left="42" w:leftChars="20" w:right="42" w:rightChars="20"/>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部门本年度预算安排的重点项目支出与部门项目总支出的比率，用以反映和考核部门对履行主要职责或完成重点任务的保障程度。</w:t>
            </w:r>
          </w:p>
        </w:tc>
        <w:tc>
          <w:tcPr>
            <w:tcW w:w="3945" w:type="dxa"/>
            <w:noWrap w:val="0"/>
            <w:tcMar>
              <w:top w:w="10" w:type="dxa"/>
              <w:left w:w="10" w:type="dxa"/>
              <w:bottom w:w="0" w:type="dxa"/>
              <w:right w:w="10" w:type="dxa"/>
            </w:tcMar>
            <w:vAlign w:val="center"/>
          </w:tcPr>
          <w:p w14:paraId="1C188FDE">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重点支出安排率=（重点项目支出/项目总支出）×100%。实际得分=支出安排率*5分。重点项目支出：部门年度预算安排的，与本部门履职和发展密切相关、具有明显社会和经济影响、党委政府关心或社会比较关注的项目支出总额。项目总支出：部门年度预算安排的项目支出总额。</w:t>
            </w:r>
          </w:p>
        </w:tc>
      </w:tr>
      <w:tr w14:paraId="2603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0" w:hRule="atLeast"/>
          <w:jc w:val="center"/>
        </w:trPr>
        <w:tc>
          <w:tcPr>
            <w:tcW w:w="684" w:type="dxa"/>
            <w:noWrap w:val="0"/>
            <w:tcMar>
              <w:top w:w="10" w:type="dxa"/>
              <w:left w:w="10" w:type="dxa"/>
              <w:bottom w:w="0" w:type="dxa"/>
              <w:right w:w="10" w:type="dxa"/>
            </w:tcMar>
            <w:vAlign w:val="center"/>
          </w:tcPr>
          <w:p w14:paraId="2C61C95D">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过程</w:t>
            </w:r>
          </w:p>
          <w:p w14:paraId="1719E634">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（30分）</w:t>
            </w:r>
          </w:p>
        </w:tc>
        <w:tc>
          <w:tcPr>
            <w:tcW w:w="776" w:type="dxa"/>
            <w:noWrap w:val="0"/>
            <w:tcMar>
              <w:top w:w="10" w:type="dxa"/>
              <w:left w:w="10" w:type="dxa"/>
              <w:bottom w:w="0" w:type="dxa"/>
              <w:right w:w="10" w:type="dxa"/>
            </w:tcMar>
            <w:vAlign w:val="center"/>
          </w:tcPr>
          <w:p w14:paraId="45059FC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360CAF41">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w:t>
            </w:r>
          </w:p>
          <w:p w14:paraId="5C313DA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（20分）</w:t>
            </w:r>
          </w:p>
        </w:tc>
        <w:tc>
          <w:tcPr>
            <w:tcW w:w="703" w:type="dxa"/>
            <w:noWrap w:val="0"/>
            <w:tcMar>
              <w:top w:w="10" w:type="dxa"/>
              <w:left w:w="10" w:type="dxa"/>
              <w:bottom w:w="0" w:type="dxa"/>
              <w:right w:w="10" w:type="dxa"/>
            </w:tcMar>
            <w:vAlign w:val="center"/>
          </w:tcPr>
          <w:p w14:paraId="68B0664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62FA241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完成率（4分）</w:t>
            </w:r>
          </w:p>
        </w:tc>
        <w:tc>
          <w:tcPr>
            <w:tcW w:w="446" w:type="dxa"/>
            <w:noWrap w:val="0"/>
            <w:tcMar>
              <w:top w:w="10" w:type="dxa"/>
              <w:left w:w="10" w:type="dxa"/>
              <w:bottom w:w="0" w:type="dxa"/>
              <w:right w:w="10" w:type="dxa"/>
            </w:tcMar>
            <w:vAlign w:val="center"/>
          </w:tcPr>
          <w:p w14:paraId="6F18A07D">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50FDBE4F">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部门本年度预算完成数与预算数的比率，用以反映和考核部门预算完成程度。</w:t>
            </w:r>
          </w:p>
        </w:tc>
        <w:tc>
          <w:tcPr>
            <w:tcW w:w="3945" w:type="dxa"/>
            <w:noWrap w:val="0"/>
            <w:tcMar>
              <w:top w:w="10" w:type="dxa"/>
              <w:left w:w="10" w:type="dxa"/>
              <w:bottom w:w="0" w:type="dxa"/>
              <w:right w:w="10" w:type="dxa"/>
            </w:tcMar>
            <w:vAlign w:val="center"/>
          </w:tcPr>
          <w:p w14:paraId="3A04ECBC">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预算完成率=（预算完成数/预算数）×100%。完成年初预算计4分，未完成年初预算按比例扣减，预算完成数：部门本年度实际完成的预算数。预算数：财政部门批复的本年度部门预算数。</w:t>
            </w:r>
          </w:p>
        </w:tc>
      </w:tr>
      <w:tr w14:paraId="2DA0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0" w:hRule="atLeast"/>
          <w:jc w:val="center"/>
        </w:trPr>
        <w:tc>
          <w:tcPr>
            <w:tcW w:w="684" w:type="dxa"/>
            <w:vMerge w:val="restart"/>
            <w:noWrap w:val="0"/>
            <w:vAlign w:val="center"/>
          </w:tcPr>
          <w:p w14:paraId="538315B3">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过程</w:t>
            </w:r>
          </w:p>
          <w:p w14:paraId="7658AD8E">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（30分）</w:t>
            </w:r>
          </w:p>
        </w:tc>
        <w:tc>
          <w:tcPr>
            <w:tcW w:w="776" w:type="dxa"/>
            <w:vMerge w:val="restart"/>
            <w:noWrap w:val="0"/>
            <w:vAlign w:val="center"/>
          </w:tcPr>
          <w:p w14:paraId="69329DBE">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67FB4DA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w:t>
            </w:r>
          </w:p>
          <w:p w14:paraId="332BD6E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（20分）</w:t>
            </w:r>
          </w:p>
        </w:tc>
        <w:tc>
          <w:tcPr>
            <w:tcW w:w="703" w:type="dxa"/>
            <w:noWrap w:val="0"/>
            <w:tcMar>
              <w:top w:w="10" w:type="dxa"/>
              <w:left w:w="10" w:type="dxa"/>
              <w:bottom w:w="0" w:type="dxa"/>
              <w:right w:w="10" w:type="dxa"/>
            </w:tcMar>
            <w:vAlign w:val="center"/>
          </w:tcPr>
          <w:p w14:paraId="24224B3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05D0A68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调整率（2分）</w:t>
            </w:r>
          </w:p>
        </w:tc>
        <w:tc>
          <w:tcPr>
            <w:tcW w:w="446" w:type="dxa"/>
            <w:noWrap w:val="0"/>
            <w:tcMar>
              <w:top w:w="10" w:type="dxa"/>
              <w:left w:w="10" w:type="dxa"/>
              <w:bottom w:w="0" w:type="dxa"/>
              <w:right w:w="10" w:type="dxa"/>
            </w:tcMar>
            <w:vAlign w:val="center"/>
          </w:tcPr>
          <w:p w14:paraId="11E6607D">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0B60436A">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部门本年度预算调整数与预算数的比率，用以反映和考核部门预算的调整程度。</w:t>
            </w:r>
          </w:p>
        </w:tc>
        <w:tc>
          <w:tcPr>
            <w:tcW w:w="3945" w:type="dxa"/>
            <w:noWrap w:val="0"/>
            <w:tcMar>
              <w:top w:w="10" w:type="dxa"/>
              <w:left w:w="10" w:type="dxa"/>
              <w:bottom w:w="0" w:type="dxa"/>
              <w:right w:w="10" w:type="dxa"/>
            </w:tcMar>
            <w:vAlign w:val="center"/>
          </w:tcPr>
          <w:p w14:paraId="2D42CD8E">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预算调整率=（预算调整数/预算数）×100%。未调整的计2分，调整了的除特殊原因外按比例扣减。预算调整数：部门在本年度内涉及预算的追加、追减或结构调整的资金总和（因落实国家政策、发生不可抗力、上级部门或同级党委政府临时交办而产生的调整除外）。</w:t>
            </w:r>
          </w:p>
        </w:tc>
      </w:tr>
      <w:tr w14:paraId="0D63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0" w:hRule="atLeast"/>
          <w:jc w:val="center"/>
        </w:trPr>
        <w:tc>
          <w:tcPr>
            <w:tcW w:w="684" w:type="dxa"/>
            <w:vMerge w:val="continue"/>
            <w:noWrap w:val="0"/>
            <w:vAlign w:val="center"/>
          </w:tcPr>
          <w:p w14:paraId="1894DA1E">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3E8094AD">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19E1055E">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支付</w:t>
            </w:r>
          </w:p>
          <w:p w14:paraId="00CA4CBA">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进度率（2分）</w:t>
            </w:r>
          </w:p>
        </w:tc>
        <w:tc>
          <w:tcPr>
            <w:tcW w:w="446" w:type="dxa"/>
            <w:noWrap w:val="0"/>
            <w:tcMar>
              <w:top w:w="10" w:type="dxa"/>
              <w:left w:w="10" w:type="dxa"/>
              <w:bottom w:w="0" w:type="dxa"/>
              <w:right w:w="10" w:type="dxa"/>
            </w:tcMar>
            <w:vAlign w:val="center"/>
          </w:tcPr>
          <w:p w14:paraId="08CB487E">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2E8E484A">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部门实际支付进度与既定支付进度的比率，用以反映和考核部门预算执行的及时性和均衡性程度。</w:t>
            </w:r>
          </w:p>
        </w:tc>
        <w:tc>
          <w:tcPr>
            <w:tcW w:w="3945" w:type="dxa"/>
            <w:noWrap w:val="0"/>
            <w:tcMar>
              <w:top w:w="10" w:type="dxa"/>
              <w:left w:w="10" w:type="dxa"/>
              <w:bottom w:w="0" w:type="dxa"/>
              <w:right w:w="10" w:type="dxa"/>
            </w:tcMar>
            <w:vAlign w:val="center"/>
          </w:tcPr>
          <w:p w14:paraId="11284401">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支付进度率=（实际支付进度/既定支付进度）×100%。完成年终进度的计1分，按季度完成预算进度的计1分。实际支付进度：部门在某一时点的支出预算执行总数与年度支出预算数的比率。既定支付进度：由部门在申报部门整体绩效目标时，参照序时支付进度、前三年支付进度、同级部门平均支付进度水平等确定的，在某一时点应达到的支付进度（比率）。</w:t>
            </w:r>
          </w:p>
        </w:tc>
      </w:tr>
      <w:tr w14:paraId="34693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5" w:hRule="atLeast"/>
          <w:jc w:val="center"/>
        </w:trPr>
        <w:tc>
          <w:tcPr>
            <w:tcW w:w="684" w:type="dxa"/>
            <w:vMerge w:val="continue"/>
            <w:noWrap w:val="0"/>
            <w:tcMar>
              <w:top w:w="10" w:type="dxa"/>
              <w:left w:w="10" w:type="dxa"/>
              <w:bottom w:w="0" w:type="dxa"/>
              <w:right w:w="10" w:type="dxa"/>
            </w:tcMar>
            <w:vAlign w:val="center"/>
          </w:tcPr>
          <w:p w14:paraId="39E2BAB6">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tcMar>
              <w:top w:w="10" w:type="dxa"/>
              <w:left w:w="10" w:type="dxa"/>
              <w:bottom w:w="0" w:type="dxa"/>
              <w:right w:w="10" w:type="dxa"/>
            </w:tcMar>
            <w:vAlign w:val="center"/>
          </w:tcPr>
          <w:p w14:paraId="3C37B2FF">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A65E531">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结转</w:t>
            </w:r>
          </w:p>
          <w:p w14:paraId="6A4B8F0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结余</w:t>
            </w:r>
          </w:p>
          <w:p w14:paraId="01D7F45E">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控制率（4分）</w:t>
            </w:r>
          </w:p>
        </w:tc>
        <w:tc>
          <w:tcPr>
            <w:tcW w:w="446" w:type="dxa"/>
            <w:noWrap w:val="0"/>
            <w:tcMar>
              <w:top w:w="10" w:type="dxa"/>
              <w:left w:w="10" w:type="dxa"/>
              <w:bottom w:w="0" w:type="dxa"/>
              <w:right w:w="10" w:type="dxa"/>
            </w:tcMar>
            <w:vAlign w:val="center"/>
          </w:tcPr>
          <w:p w14:paraId="262CCD3D">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2A03D946">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部门本年度结转结余总额与上年结转结余总额增减比例，用以反映和考核部门对存量资金的实际控制程度。</w:t>
            </w:r>
          </w:p>
        </w:tc>
        <w:tc>
          <w:tcPr>
            <w:tcW w:w="3945" w:type="dxa"/>
            <w:noWrap w:val="0"/>
            <w:tcMar>
              <w:top w:w="10" w:type="dxa"/>
              <w:left w:w="10" w:type="dxa"/>
              <w:bottom w:w="0" w:type="dxa"/>
              <w:right w:w="10" w:type="dxa"/>
            </w:tcMar>
            <w:vAlign w:val="center"/>
          </w:tcPr>
          <w:p w14:paraId="07DEE13C">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结转结余控制率=（本年结转结余总额-上年结转结余总额）/上年结转结余总额×100%。低于15%的计4分，每超过5个百分点扣1分，扣完为止。结转结余总额：部门本年度的结转资金与结余资金之和（以决算数为准）。</w:t>
            </w:r>
          </w:p>
        </w:tc>
      </w:tr>
      <w:tr w14:paraId="0EFD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0" w:hRule="atLeast"/>
          <w:jc w:val="center"/>
        </w:trPr>
        <w:tc>
          <w:tcPr>
            <w:tcW w:w="684" w:type="dxa"/>
            <w:vMerge w:val="continue"/>
            <w:noWrap w:val="0"/>
            <w:vAlign w:val="center"/>
          </w:tcPr>
          <w:p w14:paraId="3ECABF85">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49CA5842">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43F266F5">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公用</w:t>
            </w:r>
          </w:p>
          <w:p w14:paraId="782DB11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经费</w:t>
            </w:r>
          </w:p>
          <w:p w14:paraId="075E228A">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控制率（2分）</w:t>
            </w:r>
          </w:p>
        </w:tc>
        <w:tc>
          <w:tcPr>
            <w:tcW w:w="446" w:type="dxa"/>
            <w:noWrap w:val="0"/>
            <w:tcMar>
              <w:top w:w="10" w:type="dxa"/>
              <w:left w:w="10" w:type="dxa"/>
              <w:bottom w:w="0" w:type="dxa"/>
              <w:right w:w="10" w:type="dxa"/>
            </w:tcMar>
            <w:vAlign w:val="center"/>
          </w:tcPr>
          <w:p w14:paraId="6AA8A3DA">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607FE811">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部门本年度实际支出的公用经费总额与预算安排的公用经费总额的比率，用以反映和考核部门对机构运转成本的实际控制程度。</w:t>
            </w:r>
          </w:p>
        </w:tc>
        <w:tc>
          <w:tcPr>
            <w:tcW w:w="3945" w:type="dxa"/>
            <w:noWrap w:val="0"/>
            <w:tcMar>
              <w:top w:w="10" w:type="dxa"/>
              <w:left w:w="10" w:type="dxa"/>
              <w:bottom w:w="0" w:type="dxa"/>
              <w:right w:w="10" w:type="dxa"/>
            </w:tcMar>
            <w:vAlign w:val="center"/>
          </w:tcPr>
          <w:p w14:paraId="3EA79EFE">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公用经费控制率=（实际支出公用经费总额/预算安排公用经费总额）×100%。为100%的计2分，每超过1个百分点扣0.1分，扣完为止。</w:t>
            </w:r>
          </w:p>
        </w:tc>
      </w:tr>
      <w:tr w14:paraId="770C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5" w:hRule="atLeast"/>
          <w:jc w:val="center"/>
        </w:trPr>
        <w:tc>
          <w:tcPr>
            <w:tcW w:w="684" w:type="dxa"/>
            <w:vMerge w:val="continue"/>
            <w:noWrap w:val="0"/>
            <w:vAlign w:val="center"/>
          </w:tcPr>
          <w:p w14:paraId="6959AB50">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1A61ED4">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50E9C7C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“三公经费”控制率（2分）</w:t>
            </w:r>
          </w:p>
        </w:tc>
        <w:tc>
          <w:tcPr>
            <w:tcW w:w="446" w:type="dxa"/>
            <w:noWrap w:val="0"/>
            <w:tcMar>
              <w:top w:w="10" w:type="dxa"/>
              <w:left w:w="10" w:type="dxa"/>
              <w:bottom w:w="0" w:type="dxa"/>
              <w:right w:w="10" w:type="dxa"/>
            </w:tcMar>
            <w:vAlign w:val="center"/>
          </w:tcPr>
          <w:p w14:paraId="28D24447">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2F4FB5BF">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部门本年度“三公经费”实际支出数与预算安排数的比率，用以反映和考核部门对“三公经费”的实际控制程度。</w:t>
            </w:r>
          </w:p>
        </w:tc>
        <w:tc>
          <w:tcPr>
            <w:tcW w:w="3945" w:type="dxa"/>
            <w:noWrap w:val="0"/>
            <w:tcMar>
              <w:top w:w="10" w:type="dxa"/>
              <w:left w:w="10" w:type="dxa"/>
              <w:bottom w:w="0" w:type="dxa"/>
              <w:right w:w="10" w:type="dxa"/>
            </w:tcMar>
            <w:vAlign w:val="center"/>
          </w:tcPr>
          <w:p w14:paraId="450E74CA">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“三公经费”控制率=（“三公经费”实际支出数/“三公经费”预算安排数）×100%。为100%的计2分，每超过1个百分点扣0.5分，扣完为止。</w:t>
            </w:r>
          </w:p>
        </w:tc>
      </w:tr>
      <w:tr w14:paraId="48B2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0" w:hRule="atLeast"/>
          <w:jc w:val="center"/>
        </w:trPr>
        <w:tc>
          <w:tcPr>
            <w:tcW w:w="684" w:type="dxa"/>
            <w:vMerge w:val="continue"/>
            <w:noWrap w:val="0"/>
            <w:vAlign w:val="center"/>
          </w:tcPr>
          <w:p w14:paraId="4983BD34">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6B2C91E5">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1CEA8148">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政府</w:t>
            </w:r>
          </w:p>
          <w:p w14:paraId="0AD5543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采购</w:t>
            </w:r>
          </w:p>
          <w:p w14:paraId="5CCAF045">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执行率（4分）</w:t>
            </w:r>
          </w:p>
        </w:tc>
        <w:tc>
          <w:tcPr>
            <w:tcW w:w="446" w:type="dxa"/>
            <w:noWrap w:val="0"/>
            <w:tcMar>
              <w:top w:w="10" w:type="dxa"/>
              <w:left w:w="10" w:type="dxa"/>
              <w:bottom w:w="0" w:type="dxa"/>
              <w:right w:w="10" w:type="dxa"/>
            </w:tcMar>
            <w:vAlign w:val="center"/>
          </w:tcPr>
          <w:p w14:paraId="27EF5A61">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124ECE0E">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部门本年度实际政府采购金额与年初政府采购预算的比率，用以反映和考核部门政府采购预算执行情况。</w:t>
            </w:r>
          </w:p>
        </w:tc>
        <w:tc>
          <w:tcPr>
            <w:tcW w:w="3945" w:type="dxa"/>
            <w:noWrap w:val="0"/>
            <w:tcMar>
              <w:top w:w="10" w:type="dxa"/>
              <w:left w:w="10" w:type="dxa"/>
              <w:bottom w:w="0" w:type="dxa"/>
              <w:right w:w="10" w:type="dxa"/>
            </w:tcMar>
            <w:vAlign w:val="center"/>
          </w:tcPr>
          <w:p w14:paraId="6B00EC84">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政府采购执行率=（实际政府采购金额/政府采购预算数）×100%，为100%的计2分，每低于1个百分点扣0.5分，扣完为止；政府采购预算：采购机关根据事业发展计划和行政任务编制的、并经过规定程序批准的年度政府采购计划。</w:t>
            </w:r>
          </w:p>
        </w:tc>
      </w:tr>
      <w:tr w14:paraId="55B8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atLeast"/>
          <w:jc w:val="center"/>
        </w:trPr>
        <w:tc>
          <w:tcPr>
            <w:tcW w:w="684" w:type="dxa"/>
            <w:vMerge w:val="restart"/>
            <w:noWrap w:val="0"/>
            <w:vAlign w:val="center"/>
          </w:tcPr>
          <w:p w14:paraId="4D89431E">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过程</w:t>
            </w:r>
          </w:p>
          <w:p w14:paraId="7FABD4E5">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（30分）</w:t>
            </w:r>
          </w:p>
        </w:tc>
        <w:tc>
          <w:tcPr>
            <w:tcW w:w="776" w:type="dxa"/>
            <w:vMerge w:val="restart"/>
            <w:noWrap w:val="0"/>
            <w:tcMar>
              <w:top w:w="10" w:type="dxa"/>
              <w:left w:w="10" w:type="dxa"/>
              <w:bottom w:w="0" w:type="dxa"/>
              <w:right w:w="10" w:type="dxa"/>
            </w:tcMar>
            <w:vAlign w:val="center"/>
          </w:tcPr>
          <w:p w14:paraId="1B3E090F">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预算</w:t>
            </w:r>
          </w:p>
          <w:p w14:paraId="368F426F">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w:t>
            </w:r>
          </w:p>
          <w:p w14:paraId="4EC7076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703" w:type="dxa"/>
            <w:noWrap w:val="0"/>
            <w:tcMar>
              <w:top w:w="10" w:type="dxa"/>
              <w:left w:w="10" w:type="dxa"/>
              <w:bottom w:w="0" w:type="dxa"/>
              <w:right w:w="10" w:type="dxa"/>
            </w:tcMar>
            <w:vAlign w:val="center"/>
          </w:tcPr>
          <w:p w14:paraId="2BC6862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w:t>
            </w:r>
          </w:p>
          <w:p w14:paraId="784F53BF">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制度</w:t>
            </w:r>
          </w:p>
          <w:p w14:paraId="5C87D0F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健全性（2分）</w:t>
            </w:r>
          </w:p>
        </w:tc>
        <w:tc>
          <w:tcPr>
            <w:tcW w:w="446" w:type="dxa"/>
            <w:noWrap w:val="0"/>
            <w:tcMar>
              <w:top w:w="10" w:type="dxa"/>
              <w:left w:w="10" w:type="dxa"/>
              <w:bottom w:w="0" w:type="dxa"/>
              <w:right w:w="10" w:type="dxa"/>
            </w:tcMar>
            <w:vAlign w:val="center"/>
          </w:tcPr>
          <w:p w14:paraId="473BB039">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38BFBF2C">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部门为加强预算管理、规范财务行为而制定的管理制度是否健全完整，用以反映和考核部门预算管理制度对完成主要职责或促进事业发展的保障情况。</w:t>
            </w:r>
          </w:p>
        </w:tc>
        <w:tc>
          <w:tcPr>
            <w:tcW w:w="3945" w:type="dxa"/>
            <w:noWrap w:val="0"/>
            <w:tcMar>
              <w:top w:w="10" w:type="dxa"/>
              <w:left w:w="10" w:type="dxa"/>
              <w:bottom w:w="0" w:type="dxa"/>
              <w:right w:w="10" w:type="dxa"/>
            </w:tcMar>
            <w:vAlign w:val="center"/>
          </w:tcPr>
          <w:p w14:paraId="1F160D53">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已制定或具有预算资金管理办法、内部财务管理制度、会计核算制度等管理制度计1分；相关管理制度合法、合规、完整计0.5分；相关管理制度得到有效执行计0.5分。</w:t>
            </w:r>
          </w:p>
        </w:tc>
      </w:tr>
      <w:tr w14:paraId="19BB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05" w:hRule="atLeast"/>
          <w:jc w:val="center"/>
        </w:trPr>
        <w:tc>
          <w:tcPr>
            <w:tcW w:w="684" w:type="dxa"/>
            <w:vMerge w:val="continue"/>
            <w:noWrap w:val="0"/>
            <w:vAlign w:val="center"/>
          </w:tcPr>
          <w:p w14:paraId="64A2AC61">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40CBC19">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569BD73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资金</w:t>
            </w:r>
          </w:p>
          <w:p w14:paraId="32CA124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使用</w:t>
            </w:r>
          </w:p>
          <w:p w14:paraId="369E0B6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合规性（1分）</w:t>
            </w:r>
          </w:p>
        </w:tc>
        <w:tc>
          <w:tcPr>
            <w:tcW w:w="446" w:type="dxa"/>
            <w:noWrap w:val="0"/>
            <w:tcMar>
              <w:top w:w="10" w:type="dxa"/>
              <w:left w:w="10" w:type="dxa"/>
              <w:bottom w:w="0" w:type="dxa"/>
              <w:right w:w="10" w:type="dxa"/>
            </w:tcMar>
            <w:vAlign w:val="center"/>
          </w:tcPr>
          <w:p w14:paraId="09A6217D">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2605" w:type="dxa"/>
            <w:noWrap w:val="0"/>
            <w:tcMar>
              <w:top w:w="10" w:type="dxa"/>
              <w:left w:w="10" w:type="dxa"/>
              <w:bottom w:w="0" w:type="dxa"/>
              <w:right w:w="10" w:type="dxa"/>
            </w:tcMar>
            <w:vAlign w:val="center"/>
          </w:tcPr>
          <w:p w14:paraId="601F7950">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部门使用预算资金是否符合相关的预算财务管理制度的规定，用以反映和考核部门预算资金的规范运行情况。</w:t>
            </w:r>
          </w:p>
        </w:tc>
        <w:tc>
          <w:tcPr>
            <w:tcW w:w="3945" w:type="dxa"/>
            <w:noWrap w:val="0"/>
            <w:tcMar>
              <w:top w:w="10" w:type="dxa"/>
              <w:left w:w="10" w:type="dxa"/>
              <w:bottom w:w="0" w:type="dxa"/>
              <w:right w:w="10" w:type="dxa"/>
            </w:tcMar>
            <w:vAlign w:val="center"/>
          </w:tcPr>
          <w:p w14:paraId="59445EF0">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①符合国家财经法规和财务管理制度规定以及有关专项资金管理办法的规定计0.2分；②资金的拨付有完整的审批程序和手续计0.2分；③项目的重大开支经过评估论证计0.2分；④符合部门预算批复的用途计0.2分；⑤不存在截留、挤占、挪用、虚列支出等情况计0.2分。</w:t>
            </w:r>
          </w:p>
        </w:tc>
      </w:tr>
      <w:tr w14:paraId="569E7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5" w:hRule="atLeast"/>
          <w:jc w:val="center"/>
        </w:trPr>
        <w:tc>
          <w:tcPr>
            <w:tcW w:w="684" w:type="dxa"/>
            <w:vMerge w:val="continue"/>
            <w:noWrap w:val="0"/>
            <w:vAlign w:val="center"/>
          </w:tcPr>
          <w:p w14:paraId="74C16EED">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4D35BF77">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570DBF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预决算信息</w:t>
            </w:r>
          </w:p>
          <w:p w14:paraId="2041F86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公开性（1分）</w:t>
            </w:r>
          </w:p>
        </w:tc>
        <w:tc>
          <w:tcPr>
            <w:tcW w:w="446" w:type="dxa"/>
            <w:noWrap w:val="0"/>
            <w:tcMar>
              <w:top w:w="10" w:type="dxa"/>
              <w:left w:w="10" w:type="dxa"/>
              <w:bottom w:w="0" w:type="dxa"/>
              <w:right w:w="10" w:type="dxa"/>
            </w:tcMar>
            <w:vAlign w:val="center"/>
          </w:tcPr>
          <w:p w14:paraId="6C737AAB">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2605" w:type="dxa"/>
            <w:noWrap w:val="0"/>
            <w:tcMar>
              <w:top w:w="10" w:type="dxa"/>
              <w:left w:w="10" w:type="dxa"/>
              <w:bottom w:w="0" w:type="dxa"/>
              <w:right w:w="10" w:type="dxa"/>
            </w:tcMar>
            <w:vAlign w:val="center"/>
          </w:tcPr>
          <w:p w14:paraId="69D21642">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部门是否按照政府信息公开有关规定公开相关预决算信息，用以反映和考核部门预决算管理的公开透明情况。</w:t>
            </w:r>
          </w:p>
        </w:tc>
        <w:tc>
          <w:tcPr>
            <w:tcW w:w="3945" w:type="dxa"/>
            <w:noWrap w:val="0"/>
            <w:tcMar>
              <w:top w:w="10" w:type="dxa"/>
              <w:left w:w="10" w:type="dxa"/>
              <w:bottom w:w="0" w:type="dxa"/>
              <w:right w:w="10" w:type="dxa"/>
            </w:tcMar>
            <w:vAlign w:val="center"/>
          </w:tcPr>
          <w:p w14:paraId="76296B32">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①按规定内容公开预决算信息计0.5分；②按规定时限公开预决算信息计0.5分。预决算信息是指与部门预算、执行、决算、监督、绩效等管理相关的信息。</w:t>
            </w:r>
          </w:p>
        </w:tc>
      </w:tr>
      <w:tr w14:paraId="196C8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jc w:val="center"/>
        </w:trPr>
        <w:tc>
          <w:tcPr>
            <w:tcW w:w="684" w:type="dxa"/>
            <w:vMerge w:val="continue"/>
            <w:noWrap w:val="0"/>
            <w:vAlign w:val="center"/>
          </w:tcPr>
          <w:p w14:paraId="0F932B15">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1859778">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717185F8">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基础</w:t>
            </w:r>
          </w:p>
          <w:p w14:paraId="3166887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信息</w:t>
            </w:r>
          </w:p>
          <w:p w14:paraId="4AC3052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完善性（1分）</w:t>
            </w:r>
          </w:p>
        </w:tc>
        <w:tc>
          <w:tcPr>
            <w:tcW w:w="446" w:type="dxa"/>
            <w:noWrap w:val="0"/>
            <w:tcMar>
              <w:top w:w="10" w:type="dxa"/>
              <w:left w:w="10" w:type="dxa"/>
              <w:bottom w:w="0" w:type="dxa"/>
              <w:right w:w="10" w:type="dxa"/>
            </w:tcMar>
            <w:vAlign w:val="center"/>
          </w:tcPr>
          <w:p w14:paraId="5643AE24">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2605" w:type="dxa"/>
            <w:noWrap w:val="0"/>
            <w:tcMar>
              <w:top w:w="10" w:type="dxa"/>
              <w:left w:w="10" w:type="dxa"/>
              <w:bottom w:w="0" w:type="dxa"/>
              <w:right w:w="10" w:type="dxa"/>
            </w:tcMar>
            <w:vAlign w:val="center"/>
          </w:tcPr>
          <w:p w14:paraId="144F73F5">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部门基础信息是否完善，用以反映和考核基础信息对预算管理工作的支撑情况。</w:t>
            </w:r>
          </w:p>
        </w:tc>
        <w:tc>
          <w:tcPr>
            <w:tcW w:w="3945" w:type="dxa"/>
            <w:noWrap w:val="0"/>
            <w:tcMar>
              <w:top w:w="10" w:type="dxa"/>
              <w:left w:w="10" w:type="dxa"/>
              <w:bottom w:w="0" w:type="dxa"/>
              <w:right w:w="10" w:type="dxa"/>
            </w:tcMar>
            <w:vAlign w:val="center"/>
          </w:tcPr>
          <w:p w14:paraId="5BF358B8">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①基础数据信息和会计信息资料真实计0.4分；②基础数据信息和会计信息资料完整计0.3分；③基础数据信息和会计信息资料准确计0.3分。</w:t>
            </w:r>
          </w:p>
        </w:tc>
      </w:tr>
      <w:tr w14:paraId="2835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0" w:hRule="atLeast"/>
          <w:jc w:val="center"/>
        </w:trPr>
        <w:tc>
          <w:tcPr>
            <w:tcW w:w="684" w:type="dxa"/>
            <w:vMerge w:val="continue"/>
            <w:noWrap w:val="0"/>
            <w:tcMar>
              <w:top w:w="10" w:type="dxa"/>
              <w:left w:w="10" w:type="dxa"/>
              <w:bottom w:w="0" w:type="dxa"/>
              <w:right w:w="10" w:type="dxa"/>
            </w:tcMar>
            <w:vAlign w:val="center"/>
          </w:tcPr>
          <w:p w14:paraId="5E650408">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restart"/>
            <w:noWrap w:val="0"/>
            <w:tcMar>
              <w:top w:w="10" w:type="dxa"/>
              <w:left w:w="10" w:type="dxa"/>
              <w:bottom w:w="0" w:type="dxa"/>
              <w:right w:w="10" w:type="dxa"/>
            </w:tcMar>
            <w:vAlign w:val="center"/>
          </w:tcPr>
          <w:p w14:paraId="0792D29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资产</w:t>
            </w:r>
          </w:p>
          <w:p w14:paraId="7E2016A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w:t>
            </w:r>
          </w:p>
          <w:p w14:paraId="306B44C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703" w:type="dxa"/>
            <w:noWrap w:val="0"/>
            <w:tcMar>
              <w:top w:w="10" w:type="dxa"/>
              <w:left w:w="10" w:type="dxa"/>
              <w:bottom w:w="0" w:type="dxa"/>
              <w:right w:w="10" w:type="dxa"/>
            </w:tcMar>
            <w:vAlign w:val="center"/>
          </w:tcPr>
          <w:p w14:paraId="0954401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w:t>
            </w:r>
          </w:p>
          <w:p w14:paraId="6D1FD0B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制度</w:t>
            </w:r>
          </w:p>
          <w:p w14:paraId="491D4D4E">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健全性（2分）</w:t>
            </w:r>
          </w:p>
        </w:tc>
        <w:tc>
          <w:tcPr>
            <w:tcW w:w="446" w:type="dxa"/>
            <w:noWrap w:val="0"/>
            <w:tcMar>
              <w:top w:w="10" w:type="dxa"/>
              <w:left w:w="10" w:type="dxa"/>
              <w:bottom w:w="0" w:type="dxa"/>
              <w:right w:w="10" w:type="dxa"/>
            </w:tcMar>
            <w:vAlign w:val="center"/>
          </w:tcPr>
          <w:p w14:paraId="652BE5EB">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0090ABAE">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部门为加强资产管理、规范资产管理行为而制定的管理制度是否健全完整，用以反映和考核部门资产管理制度对完成主要职责或促进社会发展的保障情况。</w:t>
            </w:r>
          </w:p>
        </w:tc>
        <w:tc>
          <w:tcPr>
            <w:tcW w:w="3945" w:type="dxa"/>
            <w:noWrap w:val="0"/>
            <w:tcMar>
              <w:top w:w="10" w:type="dxa"/>
              <w:left w:w="10" w:type="dxa"/>
              <w:bottom w:w="0" w:type="dxa"/>
              <w:right w:w="10" w:type="dxa"/>
            </w:tcMar>
            <w:vAlign w:val="center"/>
          </w:tcPr>
          <w:p w14:paraId="63EE8437">
            <w:pPr>
              <w:spacing w:line="280" w:lineRule="exact"/>
              <w:ind w:left="42" w:leftChars="20" w:right="42" w:rightChars="20"/>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①制定或具有资产管理制度计1分；②相关资金管理制度合法、合规、完整计0.5分；③相关资产管理制度得到有效执行计0.5分。</w:t>
            </w:r>
          </w:p>
        </w:tc>
      </w:tr>
      <w:tr w14:paraId="39A6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jc w:val="center"/>
        </w:trPr>
        <w:tc>
          <w:tcPr>
            <w:tcW w:w="684" w:type="dxa"/>
            <w:vMerge w:val="continue"/>
            <w:noWrap w:val="0"/>
            <w:vAlign w:val="center"/>
          </w:tcPr>
          <w:p w14:paraId="449F2261">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CB5C974">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32F351E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资产</w:t>
            </w:r>
          </w:p>
          <w:p w14:paraId="5826F87F">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管理</w:t>
            </w:r>
          </w:p>
          <w:p w14:paraId="7E95EB4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安全性（2分）</w:t>
            </w:r>
          </w:p>
        </w:tc>
        <w:tc>
          <w:tcPr>
            <w:tcW w:w="446" w:type="dxa"/>
            <w:noWrap w:val="0"/>
            <w:tcMar>
              <w:top w:w="10" w:type="dxa"/>
              <w:left w:w="10" w:type="dxa"/>
              <w:bottom w:w="0" w:type="dxa"/>
              <w:right w:w="10" w:type="dxa"/>
            </w:tcMar>
            <w:vAlign w:val="center"/>
          </w:tcPr>
          <w:p w14:paraId="478EE416">
            <w:pPr>
              <w:tabs>
                <w:tab w:val="left" w:pos="761"/>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w:t>
            </w:r>
          </w:p>
        </w:tc>
        <w:tc>
          <w:tcPr>
            <w:tcW w:w="2605" w:type="dxa"/>
            <w:noWrap w:val="0"/>
            <w:tcMar>
              <w:top w:w="10" w:type="dxa"/>
              <w:left w:w="10" w:type="dxa"/>
              <w:bottom w:w="0" w:type="dxa"/>
              <w:right w:w="10" w:type="dxa"/>
            </w:tcMar>
            <w:vAlign w:val="center"/>
          </w:tcPr>
          <w:p w14:paraId="0A7975FD">
            <w:pPr>
              <w:tabs>
                <w:tab w:val="left" w:pos="761"/>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部门的资产是否保存完整、使用合规、配置合理、处置规范、收入及时足额上缴，用以反映和考核部门资产安全运行情况。</w:t>
            </w:r>
          </w:p>
        </w:tc>
        <w:tc>
          <w:tcPr>
            <w:tcW w:w="3945" w:type="dxa"/>
            <w:noWrap w:val="0"/>
            <w:tcMar>
              <w:top w:w="10" w:type="dxa"/>
              <w:left w:w="10" w:type="dxa"/>
              <w:bottom w:w="0" w:type="dxa"/>
              <w:right w:w="10" w:type="dxa"/>
            </w:tcMar>
            <w:vAlign w:val="center"/>
          </w:tcPr>
          <w:p w14:paraId="6BCF0A42">
            <w:pPr>
              <w:spacing w:line="280" w:lineRule="exact"/>
              <w:ind w:left="42" w:leftChars="20" w:right="42" w:rightChars="20"/>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①资产保存完整计0.4分；②资产配置合理计0.4分；③资产处置规范计0.4分；④资产账务管理合规、帐实相符计0.4分；⑤资产有偿使用及处置收入及时足额上缴计0.4分。</w:t>
            </w:r>
          </w:p>
        </w:tc>
      </w:tr>
      <w:tr w14:paraId="60D1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5" w:hRule="atLeast"/>
          <w:jc w:val="center"/>
        </w:trPr>
        <w:tc>
          <w:tcPr>
            <w:tcW w:w="684" w:type="dxa"/>
            <w:vMerge w:val="continue"/>
            <w:noWrap w:val="0"/>
            <w:vAlign w:val="center"/>
          </w:tcPr>
          <w:p w14:paraId="75BF6A66">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31F3D0AE">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C24BA9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固定</w:t>
            </w:r>
          </w:p>
          <w:p w14:paraId="6358C14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资产</w:t>
            </w:r>
          </w:p>
          <w:p w14:paraId="085B161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利用率（1分）</w:t>
            </w:r>
          </w:p>
        </w:tc>
        <w:tc>
          <w:tcPr>
            <w:tcW w:w="446" w:type="dxa"/>
            <w:noWrap w:val="0"/>
            <w:tcMar>
              <w:top w:w="10" w:type="dxa"/>
              <w:left w:w="10" w:type="dxa"/>
              <w:bottom w:w="0" w:type="dxa"/>
              <w:right w:w="10" w:type="dxa"/>
            </w:tcMar>
            <w:vAlign w:val="center"/>
          </w:tcPr>
          <w:p w14:paraId="5E16955A">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w:t>
            </w:r>
          </w:p>
        </w:tc>
        <w:tc>
          <w:tcPr>
            <w:tcW w:w="2605" w:type="dxa"/>
            <w:noWrap w:val="0"/>
            <w:tcMar>
              <w:top w:w="10" w:type="dxa"/>
              <w:left w:w="10" w:type="dxa"/>
              <w:bottom w:w="0" w:type="dxa"/>
              <w:right w:w="10" w:type="dxa"/>
            </w:tcMar>
            <w:vAlign w:val="center"/>
          </w:tcPr>
          <w:p w14:paraId="28938C2B">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部门实际在用固定资产总额与所有固定资产总额的比率，用以反映和考核部门固定资产使用效率程度。</w:t>
            </w:r>
          </w:p>
        </w:tc>
        <w:tc>
          <w:tcPr>
            <w:tcW w:w="3945" w:type="dxa"/>
            <w:noWrap w:val="0"/>
            <w:tcMar>
              <w:top w:w="10" w:type="dxa"/>
              <w:left w:w="10" w:type="dxa"/>
              <w:bottom w:w="0" w:type="dxa"/>
              <w:right w:w="10" w:type="dxa"/>
            </w:tcMar>
            <w:vAlign w:val="center"/>
          </w:tcPr>
          <w:p w14:paraId="11742A43">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固定资产利用率=（实际在用固定资产总额/所有固定资产总额）×100%。利用率为100%的计1分，每降1个百分点扣0.1分，扣完为止。</w:t>
            </w:r>
          </w:p>
        </w:tc>
      </w:tr>
      <w:tr w14:paraId="21E5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jc w:val="center"/>
        </w:trPr>
        <w:tc>
          <w:tcPr>
            <w:tcW w:w="684" w:type="dxa"/>
            <w:vMerge w:val="restart"/>
            <w:noWrap w:val="0"/>
            <w:tcMar>
              <w:top w:w="10" w:type="dxa"/>
              <w:left w:w="10" w:type="dxa"/>
              <w:bottom w:w="0" w:type="dxa"/>
              <w:right w:w="10" w:type="dxa"/>
            </w:tcMar>
            <w:vAlign w:val="center"/>
          </w:tcPr>
          <w:p w14:paraId="498ED4A7">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产出</w:t>
            </w:r>
          </w:p>
          <w:p w14:paraId="48B25C37">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（30分）</w:t>
            </w:r>
          </w:p>
        </w:tc>
        <w:tc>
          <w:tcPr>
            <w:tcW w:w="776" w:type="dxa"/>
            <w:vMerge w:val="restart"/>
            <w:noWrap w:val="0"/>
            <w:tcMar>
              <w:top w:w="10" w:type="dxa"/>
              <w:left w:w="10" w:type="dxa"/>
              <w:bottom w:w="0" w:type="dxa"/>
              <w:right w:w="10" w:type="dxa"/>
            </w:tcMar>
            <w:vAlign w:val="center"/>
          </w:tcPr>
          <w:p w14:paraId="686168C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职责</w:t>
            </w:r>
          </w:p>
          <w:p w14:paraId="6D19598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履行</w:t>
            </w:r>
          </w:p>
        </w:tc>
        <w:tc>
          <w:tcPr>
            <w:tcW w:w="703" w:type="dxa"/>
            <w:noWrap w:val="0"/>
            <w:tcMar>
              <w:top w:w="10" w:type="dxa"/>
              <w:left w:w="10" w:type="dxa"/>
              <w:bottom w:w="0" w:type="dxa"/>
              <w:right w:w="10" w:type="dxa"/>
            </w:tcMar>
            <w:vAlign w:val="center"/>
          </w:tcPr>
          <w:p w14:paraId="262CC27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实际</w:t>
            </w:r>
          </w:p>
          <w:p w14:paraId="5706FA4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完成率（8分）</w:t>
            </w:r>
          </w:p>
        </w:tc>
        <w:tc>
          <w:tcPr>
            <w:tcW w:w="446" w:type="dxa"/>
            <w:noWrap w:val="0"/>
            <w:tcMar>
              <w:top w:w="10" w:type="dxa"/>
              <w:left w:w="10" w:type="dxa"/>
              <w:bottom w:w="0" w:type="dxa"/>
              <w:right w:w="10" w:type="dxa"/>
            </w:tcMar>
            <w:vAlign w:val="center"/>
          </w:tcPr>
          <w:p w14:paraId="28D867E7">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w:t>
            </w:r>
          </w:p>
        </w:tc>
        <w:tc>
          <w:tcPr>
            <w:tcW w:w="2605" w:type="dxa"/>
            <w:noWrap w:val="0"/>
            <w:tcMar>
              <w:top w:w="10" w:type="dxa"/>
              <w:left w:w="10" w:type="dxa"/>
              <w:bottom w:w="0" w:type="dxa"/>
              <w:right w:w="10" w:type="dxa"/>
            </w:tcMar>
            <w:vAlign w:val="center"/>
          </w:tcPr>
          <w:p w14:paraId="5B3AC79C">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部门履行职责而实际完成工作数与计划工作数的比率，用以反映和考核部门履职工作任务目标的实现程度。</w:t>
            </w:r>
          </w:p>
        </w:tc>
        <w:tc>
          <w:tcPr>
            <w:tcW w:w="3945" w:type="dxa"/>
            <w:noWrap w:val="0"/>
            <w:tcMar>
              <w:top w:w="10" w:type="dxa"/>
              <w:left w:w="10" w:type="dxa"/>
              <w:bottom w:w="0" w:type="dxa"/>
              <w:right w:w="10" w:type="dxa"/>
            </w:tcMar>
            <w:vAlign w:val="center"/>
          </w:tcPr>
          <w:p w14:paraId="2A1E8005">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实际完成率得分=完成市委市政府绩效考核得分或上级主管部门考核指标得分/指标分值*8分</w:t>
            </w:r>
          </w:p>
        </w:tc>
      </w:tr>
      <w:tr w14:paraId="6508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5" w:hRule="atLeast"/>
          <w:jc w:val="center"/>
        </w:trPr>
        <w:tc>
          <w:tcPr>
            <w:tcW w:w="684" w:type="dxa"/>
            <w:vMerge w:val="continue"/>
            <w:noWrap w:val="0"/>
            <w:vAlign w:val="center"/>
          </w:tcPr>
          <w:p w14:paraId="3BB926C6">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BE350BC">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11845DF">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w:t>
            </w:r>
          </w:p>
          <w:p w14:paraId="650C63AA">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及时率（4分）</w:t>
            </w:r>
          </w:p>
        </w:tc>
        <w:tc>
          <w:tcPr>
            <w:tcW w:w="446" w:type="dxa"/>
            <w:noWrap w:val="0"/>
            <w:tcMar>
              <w:top w:w="10" w:type="dxa"/>
              <w:left w:w="10" w:type="dxa"/>
              <w:bottom w:w="0" w:type="dxa"/>
              <w:right w:w="10" w:type="dxa"/>
            </w:tcMar>
            <w:vAlign w:val="center"/>
          </w:tcPr>
          <w:p w14:paraId="4FCD47FB">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4E7C7435">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部门在规定时限内及时完成的实际工作数与计划工作数的比率,用以反映和考核部门履职时效目标的实现程度。</w:t>
            </w:r>
          </w:p>
        </w:tc>
        <w:tc>
          <w:tcPr>
            <w:tcW w:w="3945" w:type="dxa"/>
            <w:noWrap w:val="0"/>
            <w:tcMar>
              <w:top w:w="10" w:type="dxa"/>
              <w:left w:w="10" w:type="dxa"/>
              <w:bottom w:w="0" w:type="dxa"/>
              <w:right w:w="10" w:type="dxa"/>
            </w:tcMar>
            <w:vAlign w:val="center"/>
          </w:tcPr>
          <w:p w14:paraId="44124CEE">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完成及时率=（及时完成实际工作数/计划工作数）×100%。1-4季度各得1分</w:t>
            </w:r>
          </w:p>
          <w:p w14:paraId="1F676780">
            <w:pPr>
              <w:widowControl w:val="0"/>
              <w:spacing w:line="280" w:lineRule="exact"/>
              <w:ind w:left="42" w:leftChars="20" w:right="42" w:rightChars="20"/>
              <w:jc w:val="both"/>
              <w:rPr>
                <w:rFonts w:hint="eastAsia" w:ascii="仿宋_GB2312" w:hAnsi="仿宋_GB2312" w:eastAsia="仿宋_GB2312" w:cs="仿宋_GB2312"/>
                <w:kern w:val="2"/>
                <w:sz w:val="20"/>
                <w:szCs w:val="20"/>
                <w:lang w:val="en-US" w:eastAsia="zh-CN" w:bidi="ar-SA"/>
              </w:rPr>
            </w:pPr>
          </w:p>
        </w:tc>
      </w:tr>
      <w:tr w14:paraId="53EB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5" w:hRule="atLeast"/>
          <w:jc w:val="center"/>
        </w:trPr>
        <w:tc>
          <w:tcPr>
            <w:tcW w:w="684" w:type="dxa"/>
            <w:vMerge w:val="continue"/>
            <w:noWrap w:val="0"/>
            <w:vAlign w:val="center"/>
          </w:tcPr>
          <w:p w14:paraId="6294697C">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00F9E38">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2DEF6D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质量</w:t>
            </w:r>
          </w:p>
          <w:p w14:paraId="0F74C16D">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达标率（8分）</w:t>
            </w:r>
          </w:p>
        </w:tc>
        <w:tc>
          <w:tcPr>
            <w:tcW w:w="446" w:type="dxa"/>
            <w:noWrap w:val="0"/>
            <w:tcMar>
              <w:top w:w="10" w:type="dxa"/>
              <w:left w:w="10" w:type="dxa"/>
              <w:bottom w:w="0" w:type="dxa"/>
              <w:right w:w="10" w:type="dxa"/>
            </w:tcMar>
            <w:vAlign w:val="center"/>
          </w:tcPr>
          <w:p w14:paraId="5FA49238">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8</w:t>
            </w:r>
          </w:p>
        </w:tc>
        <w:tc>
          <w:tcPr>
            <w:tcW w:w="2605" w:type="dxa"/>
            <w:noWrap w:val="0"/>
            <w:tcMar>
              <w:top w:w="10" w:type="dxa"/>
              <w:left w:w="10" w:type="dxa"/>
              <w:bottom w:w="0" w:type="dxa"/>
              <w:right w:w="10" w:type="dxa"/>
            </w:tcMar>
            <w:vAlign w:val="center"/>
          </w:tcPr>
          <w:p w14:paraId="4E66EC40">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达到质量标准（绩效标准值）的实际工作数与计划工作数的比率,用以反映和考核部门履职质量目标的实现程度。</w:t>
            </w:r>
          </w:p>
        </w:tc>
        <w:tc>
          <w:tcPr>
            <w:tcW w:w="3945" w:type="dxa"/>
            <w:noWrap w:val="0"/>
            <w:tcMar>
              <w:top w:w="10" w:type="dxa"/>
              <w:left w:w="10" w:type="dxa"/>
              <w:bottom w:w="0" w:type="dxa"/>
              <w:right w:w="10" w:type="dxa"/>
            </w:tcMar>
            <w:vAlign w:val="center"/>
          </w:tcPr>
          <w:p w14:paraId="18A9EBDF">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质量达标率=（质量达标实际工作数/计划工作数）×100%。实际得分=达标率*8分</w:t>
            </w:r>
          </w:p>
        </w:tc>
      </w:tr>
      <w:tr w14:paraId="77BA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0" w:hRule="atLeast"/>
          <w:jc w:val="center"/>
        </w:trPr>
        <w:tc>
          <w:tcPr>
            <w:tcW w:w="684" w:type="dxa"/>
            <w:vMerge w:val="continue"/>
            <w:noWrap w:val="0"/>
            <w:vAlign w:val="center"/>
          </w:tcPr>
          <w:p w14:paraId="0D92714A">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FB39548">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622F9E3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重点</w:t>
            </w:r>
          </w:p>
          <w:p w14:paraId="689A49A9">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工作</w:t>
            </w:r>
          </w:p>
          <w:p w14:paraId="6452630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办结率</w:t>
            </w:r>
            <w:r>
              <w:rPr>
                <w:rFonts w:hint="eastAsia" w:ascii="仿宋_GB2312" w:hAnsi="仿宋_GB2312" w:eastAsia="仿宋_GB2312" w:cs="仿宋_GB2312"/>
                <w:spacing w:val="-11"/>
                <w:sz w:val="20"/>
                <w:szCs w:val="20"/>
              </w:rPr>
              <w:t>（10分）</w:t>
            </w:r>
          </w:p>
        </w:tc>
        <w:tc>
          <w:tcPr>
            <w:tcW w:w="446" w:type="dxa"/>
            <w:noWrap w:val="0"/>
            <w:tcMar>
              <w:top w:w="10" w:type="dxa"/>
              <w:left w:w="10" w:type="dxa"/>
              <w:bottom w:w="0" w:type="dxa"/>
              <w:right w:w="10" w:type="dxa"/>
            </w:tcMar>
            <w:vAlign w:val="center"/>
          </w:tcPr>
          <w:p w14:paraId="5006036B">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10</w:t>
            </w:r>
          </w:p>
        </w:tc>
        <w:tc>
          <w:tcPr>
            <w:tcW w:w="2605" w:type="dxa"/>
            <w:noWrap w:val="0"/>
            <w:tcMar>
              <w:top w:w="10" w:type="dxa"/>
              <w:left w:w="10" w:type="dxa"/>
              <w:bottom w:w="0" w:type="dxa"/>
              <w:right w:w="10" w:type="dxa"/>
            </w:tcMar>
            <w:vAlign w:val="center"/>
          </w:tcPr>
          <w:p w14:paraId="6D9AFA1F">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部门年度重点工作实际完成数与交办或下达数的比率，用以反映部门对重点工作的办理落实程度。</w:t>
            </w:r>
          </w:p>
        </w:tc>
        <w:tc>
          <w:tcPr>
            <w:tcW w:w="3945" w:type="dxa"/>
            <w:noWrap w:val="0"/>
            <w:tcMar>
              <w:top w:w="10" w:type="dxa"/>
              <w:left w:w="10" w:type="dxa"/>
              <w:bottom w:w="0" w:type="dxa"/>
              <w:right w:w="10" w:type="dxa"/>
            </w:tcMar>
            <w:vAlign w:val="center"/>
          </w:tcPr>
          <w:p w14:paraId="551583DB">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sz w:val="20"/>
                <w:szCs w:val="20"/>
              </w:rPr>
              <w:t>重点工作办结率=（重点工作实际完成数/交办或下达数）×100%。实际得分=办结率*10分</w:t>
            </w:r>
          </w:p>
        </w:tc>
      </w:tr>
      <w:tr w14:paraId="5236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684" w:type="dxa"/>
            <w:vMerge w:val="restart"/>
            <w:noWrap w:val="0"/>
            <w:tcMar>
              <w:top w:w="10" w:type="dxa"/>
              <w:left w:w="10" w:type="dxa"/>
              <w:bottom w:w="0" w:type="dxa"/>
              <w:right w:w="10" w:type="dxa"/>
            </w:tcMar>
            <w:vAlign w:val="center"/>
          </w:tcPr>
          <w:p w14:paraId="1D8F3AE5">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效果</w:t>
            </w:r>
          </w:p>
          <w:p w14:paraId="0EBCDD1F">
            <w:pPr>
              <w:spacing w:line="280" w:lineRule="exact"/>
              <w:ind w:left="-42" w:leftChars="-20" w:right="-42" w:rightChars="-20"/>
              <w:jc w:val="center"/>
              <w:rPr>
                <w:rFonts w:hint="eastAsia" w:ascii="仿宋_GB2312" w:hAnsi="仿宋_GB2312" w:eastAsia="仿宋_GB2312" w:cs="仿宋_GB2312"/>
                <w:spacing w:val="-6"/>
                <w:sz w:val="20"/>
                <w:szCs w:val="20"/>
              </w:rPr>
            </w:pPr>
            <w:r>
              <w:rPr>
                <w:rFonts w:hint="eastAsia" w:ascii="仿宋_GB2312" w:hAnsi="仿宋_GB2312" w:eastAsia="仿宋_GB2312" w:cs="仿宋_GB2312"/>
                <w:spacing w:val="-6"/>
                <w:sz w:val="20"/>
                <w:szCs w:val="20"/>
              </w:rPr>
              <w:t>（20分）</w:t>
            </w:r>
          </w:p>
        </w:tc>
        <w:tc>
          <w:tcPr>
            <w:tcW w:w="776" w:type="dxa"/>
            <w:vMerge w:val="restart"/>
            <w:noWrap w:val="0"/>
            <w:tcMar>
              <w:top w:w="10" w:type="dxa"/>
              <w:left w:w="10" w:type="dxa"/>
              <w:bottom w:w="0" w:type="dxa"/>
              <w:right w:w="10" w:type="dxa"/>
            </w:tcMar>
            <w:vAlign w:val="center"/>
          </w:tcPr>
          <w:p w14:paraId="64EB46B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履职</w:t>
            </w:r>
          </w:p>
          <w:p w14:paraId="0385E01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效益</w:t>
            </w:r>
          </w:p>
          <w:p w14:paraId="485825A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（20分）</w:t>
            </w:r>
          </w:p>
        </w:tc>
        <w:tc>
          <w:tcPr>
            <w:tcW w:w="703" w:type="dxa"/>
            <w:noWrap w:val="0"/>
            <w:tcMar>
              <w:top w:w="10" w:type="dxa"/>
              <w:left w:w="10" w:type="dxa"/>
              <w:bottom w:w="0" w:type="dxa"/>
              <w:right w:w="10" w:type="dxa"/>
            </w:tcMar>
            <w:vAlign w:val="center"/>
          </w:tcPr>
          <w:p w14:paraId="775B4474">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经济</w:t>
            </w:r>
          </w:p>
          <w:p w14:paraId="5923A84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效益</w:t>
            </w:r>
          </w:p>
          <w:p w14:paraId="003D080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446" w:type="dxa"/>
            <w:noWrap w:val="0"/>
            <w:tcMar>
              <w:top w:w="10" w:type="dxa"/>
              <w:left w:w="10" w:type="dxa"/>
              <w:bottom w:w="0" w:type="dxa"/>
              <w:right w:w="10" w:type="dxa"/>
            </w:tcMar>
            <w:vAlign w:val="center"/>
          </w:tcPr>
          <w:p w14:paraId="6AB2295E">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3D34CD74">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部门履行职责对经济发展所带来的直接或间接影响。</w:t>
            </w:r>
          </w:p>
        </w:tc>
        <w:tc>
          <w:tcPr>
            <w:tcW w:w="3945" w:type="dxa"/>
            <w:vMerge w:val="restart"/>
            <w:noWrap w:val="0"/>
            <w:tcMar>
              <w:top w:w="10" w:type="dxa"/>
              <w:left w:w="10" w:type="dxa"/>
              <w:bottom w:w="0" w:type="dxa"/>
              <w:right w:w="10" w:type="dxa"/>
            </w:tcMar>
            <w:vAlign w:val="center"/>
          </w:tcPr>
          <w:p w14:paraId="13E4C107">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kern w:val="0"/>
                <w:sz w:val="20"/>
                <w:szCs w:val="20"/>
              </w:rPr>
              <w:t>按经济效益实现程度计算得分（5分）；按社会效益实现程度计算得分（5分）；按生态效益实现程度计算得分（5分）</w:t>
            </w:r>
          </w:p>
        </w:tc>
      </w:tr>
      <w:tr w14:paraId="735B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684" w:type="dxa"/>
            <w:vMerge w:val="continue"/>
            <w:noWrap w:val="0"/>
            <w:vAlign w:val="center"/>
          </w:tcPr>
          <w:p w14:paraId="0B31ECE2">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590A39B2">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53D5F772">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w:t>
            </w:r>
          </w:p>
          <w:p w14:paraId="349425AC">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效益</w:t>
            </w:r>
          </w:p>
          <w:p w14:paraId="4DB6EA6E">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446" w:type="dxa"/>
            <w:noWrap w:val="0"/>
            <w:vAlign w:val="center"/>
          </w:tcPr>
          <w:p w14:paraId="22FD3AF1">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232BFC5E">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部门履行职责对社会发展所带来的直接或间接影响。</w:t>
            </w:r>
          </w:p>
        </w:tc>
        <w:tc>
          <w:tcPr>
            <w:tcW w:w="3945" w:type="dxa"/>
            <w:vMerge w:val="continue"/>
            <w:noWrap w:val="0"/>
            <w:vAlign w:val="center"/>
          </w:tcPr>
          <w:p w14:paraId="6A16477B">
            <w:pPr>
              <w:spacing w:line="280" w:lineRule="exact"/>
              <w:ind w:left="42" w:leftChars="20" w:right="42" w:rightChars="20"/>
              <w:rPr>
                <w:rFonts w:hint="eastAsia" w:ascii="仿宋_GB2312" w:hAnsi="仿宋_GB2312" w:eastAsia="仿宋_GB2312" w:cs="仿宋_GB2312"/>
                <w:sz w:val="20"/>
                <w:szCs w:val="20"/>
              </w:rPr>
            </w:pPr>
          </w:p>
        </w:tc>
      </w:tr>
      <w:tr w14:paraId="69428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684" w:type="dxa"/>
            <w:vMerge w:val="continue"/>
            <w:noWrap w:val="0"/>
            <w:vAlign w:val="center"/>
          </w:tcPr>
          <w:p w14:paraId="46FBD972">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18515D5C">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0CFB4420">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生态</w:t>
            </w:r>
          </w:p>
          <w:p w14:paraId="56EF34F7">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效益</w:t>
            </w:r>
          </w:p>
          <w:p w14:paraId="6CF872CA">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（5分）</w:t>
            </w:r>
          </w:p>
        </w:tc>
        <w:tc>
          <w:tcPr>
            <w:tcW w:w="446" w:type="dxa"/>
            <w:noWrap w:val="0"/>
            <w:vAlign w:val="center"/>
          </w:tcPr>
          <w:p w14:paraId="2EFAD1CA">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541B94D4">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部门履行职责对生态环境所带来的直接或间接影响。</w:t>
            </w:r>
          </w:p>
        </w:tc>
        <w:tc>
          <w:tcPr>
            <w:tcW w:w="3945" w:type="dxa"/>
            <w:vMerge w:val="continue"/>
            <w:noWrap w:val="0"/>
            <w:vAlign w:val="center"/>
          </w:tcPr>
          <w:p w14:paraId="35959E88">
            <w:pPr>
              <w:spacing w:line="280" w:lineRule="exact"/>
              <w:ind w:left="42" w:leftChars="20" w:right="42" w:rightChars="20"/>
              <w:rPr>
                <w:rFonts w:hint="eastAsia" w:ascii="仿宋_GB2312" w:hAnsi="仿宋_GB2312" w:eastAsia="仿宋_GB2312" w:cs="仿宋_GB2312"/>
                <w:sz w:val="20"/>
                <w:szCs w:val="20"/>
              </w:rPr>
            </w:pPr>
          </w:p>
        </w:tc>
      </w:tr>
      <w:tr w14:paraId="7B27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5" w:hRule="atLeast"/>
          <w:jc w:val="center"/>
        </w:trPr>
        <w:tc>
          <w:tcPr>
            <w:tcW w:w="684" w:type="dxa"/>
            <w:vMerge w:val="continue"/>
            <w:noWrap w:val="0"/>
            <w:vAlign w:val="center"/>
          </w:tcPr>
          <w:p w14:paraId="570B79CE">
            <w:pPr>
              <w:spacing w:line="280" w:lineRule="exact"/>
              <w:ind w:left="-42" w:leftChars="-20" w:right="-42" w:rightChars="-20"/>
              <w:jc w:val="center"/>
              <w:rPr>
                <w:rFonts w:hint="eastAsia" w:ascii="仿宋_GB2312" w:hAnsi="仿宋_GB2312" w:eastAsia="仿宋_GB2312" w:cs="仿宋_GB2312"/>
                <w:spacing w:val="-6"/>
                <w:sz w:val="20"/>
                <w:szCs w:val="20"/>
              </w:rPr>
            </w:pPr>
          </w:p>
        </w:tc>
        <w:tc>
          <w:tcPr>
            <w:tcW w:w="776" w:type="dxa"/>
            <w:vMerge w:val="continue"/>
            <w:noWrap w:val="0"/>
            <w:vAlign w:val="center"/>
          </w:tcPr>
          <w:p w14:paraId="4FC298F6">
            <w:pPr>
              <w:spacing w:line="280" w:lineRule="exact"/>
              <w:jc w:val="center"/>
              <w:rPr>
                <w:rFonts w:hint="eastAsia" w:ascii="仿宋_GB2312" w:hAnsi="仿宋_GB2312" w:eastAsia="仿宋_GB2312" w:cs="仿宋_GB2312"/>
                <w:sz w:val="20"/>
                <w:szCs w:val="20"/>
              </w:rPr>
            </w:pPr>
          </w:p>
        </w:tc>
        <w:tc>
          <w:tcPr>
            <w:tcW w:w="703" w:type="dxa"/>
            <w:noWrap w:val="0"/>
            <w:tcMar>
              <w:top w:w="10" w:type="dxa"/>
              <w:left w:w="10" w:type="dxa"/>
              <w:bottom w:w="0" w:type="dxa"/>
              <w:right w:w="10" w:type="dxa"/>
            </w:tcMar>
            <w:vAlign w:val="center"/>
          </w:tcPr>
          <w:p w14:paraId="2EAEDA33">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w:t>
            </w:r>
          </w:p>
          <w:p w14:paraId="614660C1">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公众</w:t>
            </w:r>
          </w:p>
          <w:p w14:paraId="6C1D994B">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或服务对象</w:t>
            </w:r>
          </w:p>
          <w:p w14:paraId="7703ECE6">
            <w:pPr>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满意度（5分）</w:t>
            </w:r>
          </w:p>
        </w:tc>
        <w:tc>
          <w:tcPr>
            <w:tcW w:w="446" w:type="dxa"/>
            <w:noWrap w:val="0"/>
            <w:tcMar>
              <w:top w:w="10" w:type="dxa"/>
              <w:left w:w="10" w:type="dxa"/>
              <w:bottom w:w="0" w:type="dxa"/>
              <w:right w:w="10" w:type="dxa"/>
            </w:tcMar>
            <w:vAlign w:val="center"/>
          </w:tcPr>
          <w:p w14:paraId="78935505">
            <w:pPr>
              <w:tabs>
                <w:tab w:val="left" w:pos="2604"/>
              </w:tabs>
              <w:spacing w:line="28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2605" w:type="dxa"/>
            <w:noWrap w:val="0"/>
            <w:tcMar>
              <w:top w:w="10" w:type="dxa"/>
              <w:left w:w="10" w:type="dxa"/>
              <w:bottom w:w="0" w:type="dxa"/>
              <w:right w:w="10" w:type="dxa"/>
            </w:tcMar>
            <w:vAlign w:val="center"/>
          </w:tcPr>
          <w:p w14:paraId="00075EA7">
            <w:pPr>
              <w:tabs>
                <w:tab w:val="left" w:pos="2604"/>
              </w:tabs>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社会公众或部门的服务对象对部门履职效果的满意程度。</w:t>
            </w:r>
          </w:p>
        </w:tc>
        <w:tc>
          <w:tcPr>
            <w:tcW w:w="3945" w:type="dxa"/>
            <w:noWrap w:val="0"/>
            <w:tcMar>
              <w:top w:w="10" w:type="dxa"/>
              <w:left w:w="10" w:type="dxa"/>
              <w:bottom w:w="0" w:type="dxa"/>
              <w:right w:w="10" w:type="dxa"/>
            </w:tcMar>
            <w:vAlign w:val="center"/>
          </w:tcPr>
          <w:p w14:paraId="57260C77">
            <w:pPr>
              <w:spacing w:line="280" w:lineRule="exact"/>
              <w:ind w:left="42" w:leftChars="20" w:right="42" w:rightChars="20"/>
              <w:rPr>
                <w:rFonts w:hint="eastAsia" w:ascii="仿宋_GB2312" w:hAnsi="仿宋_GB2312" w:eastAsia="仿宋_GB2312" w:cs="仿宋_GB2312"/>
                <w:sz w:val="20"/>
                <w:szCs w:val="20"/>
              </w:rPr>
            </w:pPr>
            <w:r>
              <w:rPr>
                <w:rFonts w:hint="eastAsia" w:ascii="仿宋_GB2312" w:hAnsi="仿宋_GB2312" w:eastAsia="仿宋_GB2312" w:cs="仿宋_GB2312"/>
                <w:spacing w:val="-6"/>
                <w:kern w:val="0"/>
                <w:sz w:val="20"/>
                <w:szCs w:val="20"/>
              </w:rPr>
              <w:t>按收集到的服务对象的满意率计算得分（5分）</w:t>
            </w:r>
          </w:p>
        </w:tc>
      </w:tr>
    </w:tbl>
    <w:p w14:paraId="590CDED6">
      <w:pPr>
        <w:spacing w:line="300" w:lineRule="exact"/>
        <w:rPr>
          <w:rFonts w:ascii="黑体" w:hAnsi="Calibri" w:eastAsia="黑体" w:cs="Times New Roman"/>
          <w:szCs w:val="32"/>
        </w:rPr>
      </w:pPr>
    </w:p>
    <w:p w14:paraId="0187E7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13753"/>
    <w:rsid w:val="79D13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2026-09-01T03:40:00Z</dcterms:created>
  <dc:creator>ZYLX</dc:creator>
  <cp:lastModifiedBy>ZYLX</cp:lastModifiedBy>
  <dcterms:modified xsi:type="dcterms:W3CDTF">2026-09-01T03:43:05Z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1A3453E968A04330A52575E8A264B093_11</vt:lpwstr>
  </property>
  <property fmtid="{D5CDD505-2E9C-101B-9397-08002B2CF9AE}" pid="4" name="KSOTemplateDocerSaveRecord">
    <vt:lpwstr>eyJoZGlkIjoiZTJlYjc1OGI5ZDcyYjMyMGRjMWJjYTFkZGUzZTgwNzgiLCJ1c2VySWQiOiIxNDEzMDE2OTM1In0=</vt:lpwstr>
  </property>
</Properties>
</file>