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266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附件1：</w:t>
      </w:r>
    </w:p>
    <w:p w14:paraId="2E75E8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</w:p>
    <w:p w14:paraId="25AC2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Nimbus Roman" w:eastAsia="方正小标宋简体" w:cs="Nimbus Roman"/>
          <w:bCs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Nimbus Roman" w:eastAsia="方正小标宋简体" w:cs="Nimbus Roman"/>
          <w:bCs/>
          <w:kern w:val="2"/>
          <w:sz w:val="44"/>
          <w:szCs w:val="44"/>
          <w:lang w:val="en-US" w:eastAsia="zh-CN"/>
        </w:rPr>
        <w:t>2026年到期区级科技创新计划项目</w:t>
      </w:r>
    </w:p>
    <w:p w14:paraId="5DBEC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Nimbus Roman" w:eastAsia="方正小标宋简体" w:cs="Nimbus Roman"/>
          <w:bCs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Nimbus Roman" w:eastAsia="方正小标宋简体" w:cs="Nimbus Roman"/>
          <w:bCs/>
          <w:kern w:val="2"/>
          <w:sz w:val="44"/>
          <w:szCs w:val="44"/>
          <w:lang w:val="en-US" w:eastAsia="zh-CN"/>
        </w:rPr>
        <w:t>验收实施方案</w:t>
      </w:r>
    </w:p>
    <w:p w14:paraId="6B7FC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Nimbus Roman" w:eastAsia="方正小标宋简体" w:cs="Nimbus Roman"/>
          <w:bCs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Nimbus Roman" w:eastAsia="方正小标宋简体" w:cs="Nimbus Roman"/>
          <w:bCs/>
          <w:kern w:val="2"/>
          <w:sz w:val="44"/>
          <w:szCs w:val="44"/>
          <w:lang w:val="en-US" w:eastAsia="zh-CN"/>
        </w:rPr>
        <w:t xml:space="preserve"> </w:t>
      </w:r>
    </w:p>
    <w:p w14:paraId="4837C3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为做好我区202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val="en-US" w:eastAsia="zh-CN"/>
        </w:rPr>
        <w:t>6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年到期区级科技创新计划项目验收工作，规范验收程序，压实各方主体责任，依据《赫山区科技创新计划项目管理办法》（益赫科〔2025〕4号），参照湘科发〔2026〕13号、益科字〔2026〕33号，制定本实施方案。</w:t>
      </w:r>
    </w:p>
    <w:p w14:paraId="697DAF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国标黑体" w:hAnsi="国标黑体" w:eastAsia="国标黑体" w:cs="国标黑体"/>
          <w:kern w:val="0"/>
          <w:sz w:val="32"/>
          <w:szCs w:val="32"/>
        </w:rPr>
      </w:pPr>
      <w:r>
        <w:rPr>
          <w:rFonts w:hint="eastAsia" w:ascii="国标黑体" w:hAnsi="国标黑体" w:eastAsia="国标黑体" w:cs="国标黑体"/>
          <w:kern w:val="0"/>
          <w:sz w:val="32"/>
          <w:szCs w:val="32"/>
        </w:rPr>
        <w:t>一、组织及职责分工</w:t>
      </w:r>
    </w:p>
    <w:p w14:paraId="013D47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1. 区科技局：区级项目验收主管部门，统筹组织本次集中验收；负责受理验收申请、开展形式审查、组织专家开展综合绩效评价；开展结果公示；统筹归档项目验收档案。</w:t>
      </w:r>
    </w:p>
    <w:p w14:paraId="59CF06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2. 项目承担单位：落实法人主体责任，负责组织内部自查，审核验收全套材料；落实配套条件；报告项目重大变更事项；配合专家核查；落实经费、成果档案管理。</w:t>
      </w:r>
    </w:p>
    <w:p w14:paraId="144286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3. 项目负责人：项目直接责任人，负责编制验收全套材料，对材料真实性负责；接受质询、现场核查；落实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eastAsia="zh-CN"/>
        </w:rPr>
        <w:t>项目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成果转化、知识产权管理。</w:t>
      </w:r>
    </w:p>
    <w:p w14:paraId="244C81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4. 验收专家组：验收专家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eastAsia="zh-CN"/>
        </w:rPr>
        <w:t>或相关部门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接受委托，参与验收工作，公平、公正、客观地对项目进行评价，对验收意见、评估结论负责。专家组不少于3人，其中包含财务专家；实行回避制度，项目参与人员不得作为验收专家。</w:t>
      </w:r>
    </w:p>
    <w:p w14:paraId="49E802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国标黑体" w:hAnsi="国标黑体" w:eastAsia="国标黑体" w:cs="国标黑体"/>
          <w:kern w:val="0"/>
          <w:sz w:val="32"/>
          <w:szCs w:val="32"/>
        </w:rPr>
      </w:pPr>
      <w:r>
        <w:rPr>
          <w:rFonts w:hint="eastAsia" w:ascii="国标黑体" w:hAnsi="国标黑体" w:eastAsia="国标黑体" w:cs="国标黑体"/>
          <w:kern w:val="0"/>
          <w:sz w:val="32"/>
          <w:szCs w:val="32"/>
        </w:rPr>
        <w:t>二、验收内容</w:t>
      </w:r>
    </w:p>
    <w:p w14:paraId="6492D9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以项目任务书及经审批生效的变更、延期批复文件为核心依据，开展一次性综合绩效评价，重点核查：</w:t>
      </w:r>
    </w:p>
    <w:p w14:paraId="210CD0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1. 项目任务书约定研究内容、技术指标、经济指标、人才培养等考核指标完成情况；未完成指标须客观说明原因；</w:t>
      </w:r>
    </w:p>
    <w:p w14:paraId="2DD477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2. 专利、软著、样机、检测报告等科技成果产出、知识产权保护、成果转化应用情况；</w:t>
      </w:r>
    </w:p>
    <w:p w14:paraId="35C1B8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3. 财政资助经费、单位自筹经费到位、支出合规性；固定资产购置管理；</w:t>
      </w:r>
    </w:p>
    <w:p w14:paraId="709ACE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4. 项目执行过程管理：重大事项变更是否履行报批程序；科研诚信、科技伦理执行情况；</w:t>
      </w:r>
    </w:p>
    <w:p w14:paraId="00DBAB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5. 社会效益、产业带动、人才队伍建设情况。</w:t>
      </w:r>
    </w:p>
    <w:p w14:paraId="0A3329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对探索性强、研发风险高，受不可抗力影响未能完成全部目标，且项目组已经履行勤勉尽责义务、原始科研记录完整的项目，项目单位可以申请尽责结题，经区科技局审核批准后，不再开展综合绩效评价。</w:t>
      </w:r>
    </w:p>
    <w:p w14:paraId="565756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国标黑体" w:hAnsi="国标黑体" w:eastAsia="国标黑体" w:cs="国标黑体"/>
          <w:kern w:val="0"/>
          <w:sz w:val="32"/>
          <w:szCs w:val="32"/>
        </w:rPr>
        <w:t>三、验收组织方式</w:t>
      </w:r>
    </w:p>
    <w:p w14:paraId="0D5E6F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1. 财政资助5万元以下项目：书面评价。专家组审阅全套书面材料，形成综合评价意见，区科技局视工作需要组织抽查复核。</w:t>
      </w:r>
    </w:p>
    <w:p w14:paraId="03647F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2. 财政资助5万元（含）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eastAsia="zh-CN"/>
        </w:rPr>
        <w:t>及以上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项目：会议评价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eastAsia="zh-CN"/>
        </w:rPr>
        <w:t>与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现场抽查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eastAsia="zh-CN"/>
        </w:rPr>
        <w:t>相结合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。组织专家开展会议评审，听取项目汇报、开展质询，根据实际情况开展现场抽查。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eastAsia="zh-CN"/>
        </w:rPr>
        <w:t>现场抽查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赴项目承担单位开展实地核查，查验研发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eastAsia="zh-CN"/>
        </w:rPr>
        <w:t>情况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、样机样品、财务凭证等资料。</w:t>
      </w:r>
    </w:p>
    <w:p w14:paraId="04C4F8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国标黑体" w:hAnsi="国标黑体" w:eastAsia="国标黑体" w:cs="国标黑体"/>
          <w:kern w:val="0"/>
          <w:sz w:val="32"/>
          <w:szCs w:val="32"/>
        </w:rPr>
      </w:pPr>
      <w:r>
        <w:rPr>
          <w:rFonts w:hint="eastAsia" w:ascii="国标黑体" w:hAnsi="国标黑体" w:eastAsia="国标黑体" w:cs="国标黑体"/>
          <w:kern w:val="0"/>
          <w:sz w:val="32"/>
          <w:szCs w:val="32"/>
        </w:rPr>
        <w:t>四、实施时间安排</w:t>
      </w:r>
    </w:p>
    <w:p w14:paraId="75C960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1. 材料申报阶段（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val="en-US" w:eastAsia="zh-CN"/>
        </w:rPr>
        <w:t>2026-09-</w:t>
      </w:r>
      <w:r>
        <w:rPr>
          <w:rFonts w:hint="default" w:ascii="Nimbus Roman" w:hAnsi="Nimbus Roman" w:eastAsia="仿宋" w:cs="Nimbus Roman"/>
          <w:kern w:val="0"/>
          <w:sz w:val="32"/>
          <w:szCs w:val="32"/>
          <w:lang w:val="en-US" w:eastAsia="zh-CN"/>
        </w:rPr>
        <w:t>21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至2026‑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val="en-US" w:eastAsia="zh-CN"/>
        </w:rPr>
        <w:t>10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‑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val="en-US" w:eastAsia="zh-CN"/>
        </w:rPr>
        <w:t>31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）：各项目承担单位完成自查，提交全套验收纸质材料与电子版。</w:t>
      </w:r>
    </w:p>
    <w:p w14:paraId="7E1609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2. 形式审查阶段（2026‑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val="en-US" w:eastAsia="zh-CN"/>
        </w:rPr>
        <w:t>10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‑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val="en-US" w:eastAsia="zh-CN"/>
        </w:rPr>
        <w:t>31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至2026‑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val="en-US" w:eastAsia="zh-CN"/>
        </w:rPr>
        <w:t>11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‑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val="en-US" w:eastAsia="zh-CN"/>
        </w:rPr>
        <w:t>9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）：区科技局开展形式审查，材料不齐、不符合要求的一次性告知补正，项目单位须收到退回通知后完成补报；逾期未重新提交的，按不通过验收处置。</w:t>
      </w:r>
    </w:p>
    <w:p w14:paraId="491644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3. 集中专家评价阶段（2026‑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val="en-US" w:eastAsia="zh-CN"/>
        </w:rPr>
        <w:t>11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‑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val="en-US" w:eastAsia="zh-CN"/>
        </w:rPr>
        <w:t>9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至2026‑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val="en-US" w:eastAsia="zh-CN"/>
        </w:rPr>
        <w:t>11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‑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val="en-US" w:eastAsia="zh-CN"/>
        </w:rPr>
        <w:t>16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）：分批次组织书面、会议、现场评价，专家组出具综合绩效评价意见。</w:t>
      </w:r>
    </w:p>
    <w:p w14:paraId="298F56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4. 结果公示与结论下达（2026‑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val="en-US" w:eastAsia="zh-CN"/>
        </w:rPr>
        <w:t>11下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旬）：验收结果在赫山区政府门户网站公示5个工作日，公示无异议后正式下达项目验收结论。</w:t>
      </w:r>
    </w:p>
    <w:p w14:paraId="3B1016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国标黑体" w:hAnsi="国标黑体" w:eastAsia="国标黑体" w:cs="国标黑体"/>
          <w:kern w:val="0"/>
          <w:sz w:val="32"/>
          <w:szCs w:val="32"/>
        </w:rPr>
        <w:t>五、验收申请须提交全套材料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（全部加盖单位公章）</w:t>
      </w:r>
    </w:p>
    <w:p w14:paraId="578350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1. 《赫山区科技创新计划项目验收申请表》；</w:t>
      </w:r>
    </w:p>
    <w:p w14:paraId="07387F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2. 发生变更、延期的，附正式审批批复；</w:t>
      </w:r>
    </w:p>
    <w:p w14:paraId="5F5076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3. 项目验收绩效自评报告；</w:t>
      </w:r>
    </w:p>
    <w:p w14:paraId="09D2EC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4. 科研诚信承诺书；</w:t>
      </w:r>
    </w:p>
    <w:p w14:paraId="5EF2A7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5. 经费相关材料：经费收支明细表、固定资产购置清单、资金到位与支出凭证</w:t>
      </w:r>
      <w:r>
        <w:rPr>
          <w:rFonts w:hint="eastAsia" w:ascii="Nimbus Roman" w:hAnsi="Nimbus Roman" w:eastAsia="仿宋" w:cs="Nimbus Roman"/>
          <w:kern w:val="0"/>
          <w:sz w:val="32"/>
          <w:szCs w:val="32"/>
          <w:lang w:eastAsia="zh-CN"/>
        </w:rPr>
        <w:t>等</w:t>
      </w:r>
      <w:r>
        <w:rPr>
          <w:rFonts w:hint="eastAsia" w:ascii="Nimbus Roman" w:hAnsi="Nimbus Roman" w:eastAsia="仿宋" w:cs="Nimbus Roman"/>
          <w:kern w:val="0"/>
          <w:sz w:val="32"/>
          <w:szCs w:val="32"/>
        </w:rPr>
        <w:t>；</w:t>
      </w:r>
    </w:p>
    <w:p w14:paraId="5B9773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6. 成果佐证材料：专利、软件著作权、检测报告、样机图片、用户应用证明、经济效益证明等；</w:t>
      </w:r>
    </w:p>
    <w:p w14:paraId="286C55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7. 其他佐证材料（伦理审查材料、重大变更说明等）。</w:t>
      </w:r>
    </w:p>
    <w:p w14:paraId="25F83A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国标黑体" w:hAnsi="国标黑体" w:eastAsia="国标黑体" w:cs="国标黑体"/>
          <w:kern w:val="0"/>
          <w:sz w:val="32"/>
          <w:szCs w:val="32"/>
        </w:rPr>
      </w:pPr>
      <w:r>
        <w:rPr>
          <w:rFonts w:hint="eastAsia" w:ascii="国标黑体" w:hAnsi="国标黑体" w:eastAsia="国标黑体" w:cs="国标黑体"/>
          <w:kern w:val="0"/>
          <w:sz w:val="32"/>
          <w:szCs w:val="32"/>
        </w:rPr>
        <w:t>六、验收结论及处置规则</w:t>
      </w:r>
    </w:p>
    <w:p w14:paraId="65DC54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综合绩效评价结论分为优秀、合格、不合格；优秀、合格视为通过验收，不合格为不通过验收。</w:t>
      </w:r>
    </w:p>
    <w:p w14:paraId="5237AE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1. 验收通过（优秀/合格）：结余财政经费按照政策留归项目承担单位，统筹用于科研直接支出。验收结论作为后续申报各级科技计划项目重要参考。</w:t>
      </w:r>
    </w:p>
    <w:p w14:paraId="5DCC11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2. 验收不合格：下达整改通知，项目单位须在收到通知起3个月内完成整改，再次提交验收申请；整改复核后达到要求的，按合格（通过）处理，不得评定优秀；整改复核仍然达不到要求，确定为不通过验收。</w:t>
      </w:r>
    </w:p>
    <w:p w14:paraId="00B2C8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3. 验收不通过项目：按规定收回财政结余资金；因承担单位、项目负责人主观过错造成验收不通过或者拒不参加验收的，记入科研失信记录，限制申报区级科技创新计划项目；涉嫌违纪违法的移交相关部门处理。</w:t>
      </w:r>
    </w:p>
    <w:p w14:paraId="294F43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4. 尽责结题项目：履行结题审批，不做绩效等级评价，按规定处置财政结余资金。</w:t>
      </w:r>
    </w:p>
    <w:p w14:paraId="3BB8FB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国标黑体" w:hAnsi="国标黑体" w:eastAsia="国标黑体" w:cs="国标黑体"/>
          <w:kern w:val="0"/>
          <w:sz w:val="32"/>
          <w:szCs w:val="32"/>
        </w:rPr>
      </w:pPr>
      <w:r>
        <w:rPr>
          <w:rFonts w:hint="eastAsia" w:ascii="国标黑体" w:hAnsi="国标黑体" w:eastAsia="国标黑体" w:cs="国标黑体"/>
          <w:kern w:val="0"/>
          <w:sz w:val="32"/>
          <w:szCs w:val="32"/>
        </w:rPr>
        <w:t>七、工作纪律与科研诚信要求</w:t>
      </w:r>
    </w:p>
    <w:p w14:paraId="23D067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1. 严禁项目申报材料弄虚作假，严禁抄袭、编造科研成果，严禁截留挤占挪用财政科技经费；一经查实，记入科研失信记录，依规处置财政资金。</w:t>
      </w:r>
    </w:p>
    <w:p w14:paraId="50D456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2. 验收专家严格遵守回避、保密纪律，客观独立开展评价；严禁干预验收公正。</w:t>
      </w:r>
    </w:p>
    <w:p w14:paraId="4DEDD0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3. 完整建立项目验收档案，纸质、电子档案同步归档保存，做到全程可追溯。</w:t>
      </w:r>
    </w:p>
    <w:p w14:paraId="7767D6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国标黑体" w:hAnsi="国标黑体" w:eastAsia="国标黑体" w:cs="国标黑体"/>
          <w:kern w:val="0"/>
          <w:sz w:val="32"/>
          <w:szCs w:val="32"/>
        </w:rPr>
      </w:pPr>
      <w:r>
        <w:rPr>
          <w:rFonts w:hint="eastAsia" w:ascii="国标黑体" w:hAnsi="国标黑体" w:eastAsia="国标黑体" w:cs="国标黑体"/>
          <w:kern w:val="0"/>
          <w:sz w:val="32"/>
          <w:szCs w:val="32"/>
        </w:rPr>
        <w:t xml:space="preserve">八、其他说明 </w:t>
      </w:r>
    </w:p>
    <w:p w14:paraId="0B8CAA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1. 项目单位对验收结论存在异议，可在收到验收结论10个工作日内向赫山区科技局提交书面复核申请，区科技局组织专家复核并出具复核意见。</w:t>
      </w:r>
    </w:p>
    <w:p w14:paraId="0A6902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Nimbus Roman" w:hAnsi="Nimbus Roman" w:eastAsia="仿宋" w:cs="Nimbus Roman"/>
          <w:kern w:val="0"/>
          <w:sz w:val="32"/>
          <w:szCs w:val="32"/>
        </w:rPr>
      </w:pPr>
      <w:r>
        <w:rPr>
          <w:rFonts w:hint="eastAsia" w:ascii="Nimbus Roman" w:hAnsi="Nimbus Roman" w:eastAsia="仿宋" w:cs="Nimbus Roman"/>
          <w:kern w:val="0"/>
          <w:sz w:val="32"/>
          <w:szCs w:val="32"/>
        </w:rPr>
        <w:t>2. 本方案未尽事宜，按照《赫山区科技创新计划项目管理办法》（益赫科〔2025〕4号）执行，业务操作参照湘科发〔2026〕13号、益科字〔2026〕33号。</w:t>
      </w:r>
    </w:p>
    <w:p w14:paraId="34E6CADD">
      <w:pPr>
        <w:widowControl/>
        <w:adjustRightInd w:val="0"/>
        <w:snapToGrid w:val="0"/>
        <w:spacing w:after="0" w:line="520" w:lineRule="exact"/>
        <w:jc w:val="right"/>
        <w:rPr>
          <w:rFonts w:ascii="Nimbus Roman" w:hAnsi="Nimbus Roman" w:eastAsia="仿宋" w:cs="Nimbus Roman"/>
          <w:kern w:val="0"/>
          <w:sz w:val="32"/>
          <w:szCs w:val="32"/>
        </w:rPr>
      </w:pPr>
    </w:p>
    <w:p w14:paraId="12AAF7DE">
      <w:pPr>
        <w:widowControl/>
        <w:adjustRightInd w:val="0"/>
        <w:snapToGrid w:val="0"/>
        <w:spacing w:after="0" w:line="520" w:lineRule="exact"/>
        <w:jc w:val="right"/>
        <w:rPr>
          <w:rFonts w:ascii="Nimbus Roman" w:hAnsi="Nimbus Roman" w:eastAsia="仿宋" w:cs="Nimbus Roman"/>
          <w:kern w:val="0"/>
          <w:sz w:val="32"/>
          <w:szCs w:val="32"/>
        </w:rPr>
      </w:pPr>
    </w:p>
    <w:p w14:paraId="6CD44369">
      <w:pPr>
        <w:widowControl/>
        <w:adjustRightInd w:val="0"/>
        <w:snapToGrid w:val="0"/>
        <w:spacing w:after="0" w:line="520" w:lineRule="exact"/>
        <w:jc w:val="right"/>
        <w:rPr>
          <w:rFonts w:ascii="Nimbus Roman" w:hAnsi="Nimbus Roman" w:eastAsia="仿宋" w:cs="Nimbus Roman"/>
          <w:kern w:val="0"/>
          <w:sz w:val="32"/>
          <w:szCs w:val="32"/>
        </w:rPr>
      </w:pPr>
    </w:p>
    <w:p w14:paraId="52B578D8">
      <w:pPr>
        <w:widowControl/>
        <w:adjustRightInd w:val="0"/>
        <w:snapToGrid w:val="0"/>
        <w:spacing w:after="0" w:line="520" w:lineRule="exact"/>
        <w:jc w:val="right"/>
        <w:rPr>
          <w:rFonts w:ascii="Nimbus Roman" w:hAnsi="Nimbus Roman" w:eastAsia="仿宋" w:cs="Nimbus Roman"/>
          <w:kern w:val="0"/>
          <w:sz w:val="32"/>
          <w:szCs w:val="32"/>
        </w:rPr>
      </w:pPr>
    </w:p>
    <w:p w14:paraId="5D2BC31B">
      <w:pPr>
        <w:widowControl/>
        <w:adjustRightInd w:val="0"/>
        <w:snapToGrid w:val="0"/>
        <w:spacing w:after="0" w:line="520" w:lineRule="exact"/>
        <w:jc w:val="right"/>
        <w:rPr>
          <w:rFonts w:ascii="Nimbus Roman" w:hAnsi="Nimbus Roman" w:eastAsia="仿宋" w:cs="Nimbus Roman"/>
          <w:kern w:val="0"/>
          <w:sz w:val="32"/>
          <w:szCs w:val="32"/>
        </w:rPr>
      </w:pPr>
    </w:p>
    <w:p w14:paraId="69275FC6">
      <w:pPr>
        <w:widowControl/>
        <w:adjustRightInd w:val="0"/>
        <w:snapToGrid w:val="0"/>
        <w:spacing w:after="0" w:line="520" w:lineRule="exact"/>
        <w:jc w:val="right"/>
        <w:rPr>
          <w:rFonts w:ascii="Nimbus Roman" w:hAnsi="Nimbus Roman" w:eastAsia="仿宋" w:cs="Nimbus Roman"/>
          <w:kern w:val="0"/>
          <w:sz w:val="32"/>
          <w:szCs w:val="32"/>
        </w:rPr>
      </w:pPr>
    </w:p>
    <w:p w14:paraId="33037100">
      <w:pPr>
        <w:widowControl/>
        <w:adjustRightInd w:val="0"/>
        <w:snapToGrid w:val="0"/>
        <w:spacing w:after="0" w:line="520" w:lineRule="exact"/>
        <w:jc w:val="right"/>
        <w:rPr>
          <w:rFonts w:ascii="Nimbus Roman" w:hAnsi="Nimbus Roman" w:eastAsia="仿宋" w:cs="Nimbus Roman"/>
          <w:kern w:val="0"/>
          <w:sz w:val="32"/>
          <w:szCs w:val="32"/>
        </w:rPr>
      </w:pPr>
    </w:p>
    <w:p w14:paraId="387E1D10">
      <w:pPr>
        <w:widowControl/>
        <w:adjustRightInd w:val="0"/>
        <w:snapToGrid w:val="0"/>
        <w:spacing w:after="0" w:line="520" w:lineRule="exact"/>
        <w:jc w:val="right"/>
        <w:rPr>
          <w:rFonts w:ascii="Nimbus Roman" w:hAnsi="Nimbus Roman" w:eastAsia="仿宋" w:cs="Nimbus Roman"/>
          <w:kern w:val="0"/>
          <w:sz w:val="32"/>
          <w:szCs w:val="32"/>
        </w:rPr>
      </w:pPr>
    </w:p>
    <w:p w14:paraId="27F9E834">
      <w:pPr>
        <w:widowControl/>
        <w:adjustRightInd w:val="0"/>
        <w:snapToGrid w:val="0"/>
        <w:spacing w:after="0" w:line="520" w:lineRule="exact"/>
        <w:jc w:val="right"/>
        <w:rPr>
          <w:rFonts w:ascii="Nimbus Roman" w:hAnsi="Nimbus Roman" w:eastAsia="仿宋" w:cs="Nimbus Roman"/>
          <w:kern w:val="0"/>
          <w:sz w:val="32"/>
          <w:szCs w:val="32"/>
        </w:rPr>
      </w:pPr>
    </w:p>
    <w:p w14:paraId="1C5EA582">
      <w:pPr>
        <w:widowControl/>
        <w:adjustRightInd w:val="0"/>
        <w:snapToGrid w:val="0"/>
        <w:spacing w:after="0" w:line="520" w:lineRule="exact"/>
        <w:jc w:val="right"/>
        <w:rPr>
          <w:rFonts w:ascii="Nimbus Roman" w:hAnsi="Nimbus Roman" w:eastAsia="仿宋" w:cs="Nimbus Roman"/>
          <w:kern w:val="0"/>
          <w:sz w:val="32"/>
          <w:szCs w:val="32"/>
        </w:rPr>
      </w:pPr>
    </w:p>
    <w:p w14:paraId="7FDF87FA">
      <w:pPr>
        <w:widowControl/>
        <w:adjustRightInd w:val="0"/>
        <w:snapToGrid w:val="0"/>
        <w:spacing w:after="0" w:line="520" w:lineRule="exact"/>
        <w:jc w:val="right"/>
        <w:rPr>
          <w:rFonts w:ascii="Nimbus Roman" w:hAnsi="Nimbus Roman" w:eastAsia="仿宋" w:cs="Nimbus Roman"/>
          <w:kern w:val="0"/>
          <w:sz w:val="32"/>
          <w:szCs w:val="32"/>
        </w:rPr>
      </w:pPr>
    </w:p>
    <w:p w14:paraId="0104C17C">
      <w:pPr>
        <w:widowControl/>
        <w:adjustRightInd w:val="0"/>
        <w:snapToGrid w:val="0"/>
        <w:spacing w:after="0" w:line="520" w:lineRule="exact"/>
        <w:jc w:val="right"/>
        <w:rPr>
          <w:rFonts w:ascii="Nimbus Roman" w:hAnsi="Nimbus Roman" w:eastAsia="仿宋" w:cs="Nimbus Roman"/>
          <w:kern w:val="0"/>
          <w:sz w:val="32"/>
          <w:szCs w:val="32"/>
        </w:rPr>
      </w:pPr>
    </w:p>
    <w:p w14:paraId="431A6668">
      <w:pPr>
        <w:widowControl/>
        <w:adjustRightInd w:val="0"/>
        <w:snapToGrid w:val="0"/>
        <w:spacing w:after="0" w:line="520" w:lineRule="exact"/>
        <w:jc w:val="right"/>
        <w:rPr>
          <w:rFonts w:ascii="Nimbus Roman" w:hAnsi="Nimbus Roman" w:eastAsia="仿宋" w:cs="Nimbus Roman"/>
          <w:kern w:val="0"/>
          <w:sz w:val="32"/>
          <w:szCs w:val="32"/>
        </w:rPr>
      </w:pPr>
    </w:p>
    <w:p w14:paraId="15181995">
      <w:pPr>
        <w:pStyle w:val="2"/>
        <w:rPr>
          <w:rFonts w:ascii="Nimbus Roman" w:hAnsi="Nimbus Roman" w:eastAsia="仿宋" w:cs="Nimbus Roman"/>
          <w:kern w:val="0"/>
          <w:sz w:val="32"/>
          <w:szCs w:val="32"/>
        </w:rPr>
      </w:pPr>
    </w:p>
    <w:p w14:paraId="552D9B7C">
      <w:pPr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imbus Roman">
    <w:altName w:val="Segoe Print"/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7DF6CDC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4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D64A42"/>
    <w:rsid w:val="39D74761"/>
    <w:rsid w:val="3D8B21D4"/>
    <w:rsid w:val="557F6FCF"/>
    <w:rsid w:val="787856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5100</Words>
  <Characters>5512</Characters>
  <Lines>0</Lines>
  <Paragraphs>0</Paragraphs>
  <TotalTime>3</TotalTime>
  <ScaleCrop>false</ScaleCrop>
  <LinksUpToDate>false</LinksUpToDate>
  <CharactersWithSpaces>5750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2026-09-18T11:14:12Z</dcterms:created>
  <dc:creator>kylin</dc:creator>
  <cp:lastModifiedBy>ZYLX</cp:lastModifiedBy>
  <dcterms:modified xsi:type="dcterms:W3CDTF">2026-09-18T03:26:38Z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26D888C68F434817AE97C0F3FC6FF6BB_13</vt:lpwstr>
  </property>
  <property fmtid="{D5CDD505-2E9C-101B-9397-08002B2CF9AE}" pid="4" name="KSOTemplateDocerSaveRecord">
    <vt:lpwstr>eyJoZGlkIjoiZTJlYjc1OGI5ZDcyYjMyMGRjMWJjYTFkZGUzZTgwNzgiLCJ1c2VySWQiOiIxNDEzMDE2OTM1In0=</vt:lpwstr>
  </property>
</Properties>
</file>