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BA8FD">
      <w:pPr>
        <w:widowControl/>
        <w:adjustRightInd w:val="0"/>
        <w:snapToGrid w:val="0"/>
        <w:spacing w:after="0" w:line="520" w:lineRule="exact"/>
        <w:jc w:val="both"/>
        <w:rPr>
          <w:rFonts w:hint="eastAsia" w:ascii="Nimbus Roman" w:hAnsi="Nimbus Roman" w:eastAsia="仿宋" w:cs="Nimbus Roman"/>
          <w:kern w:val="0"/>
          <w:sz w:val="32"/>
          <w:szCs w:val="32"/>
          <w:lang w:val="en-US" w:eastAsia="zh-CN"/>
        </w:rPr>
      </w:pPr>
      <w:r>
        <w:rPr>
          <w:rFonts w:hint="eastAsia" w:ascii="Nimbus Roman" w:hAnsi="Nimbus Roman" w:eastAsia="仿宋" w:cs="Nimbus Roman"/>
          <w:kern w:val="0"/>
          <w:sz w:val="32"/>
          <w:szCs w:val="32"/>
          <w:lang w:eastAsia="zh-CN"/>
        </w:rPr>
        <w:t>附件</w:t>
      </w:r>
      <w:r>
        <w:rPr>
          <w:rFonts w:hint="eastAsia" w:ascii="Nimbus Roman" w:hAnsi="Nimbus Roman" w:eastAsia="仿宋" w:cs="Nimbus Roman"/>
          <w:kern w:val="0"/>
          <w:sz w:val="32"/>
          <w:szCs w:val="32"/>
          <w:lang w:val="en-US" w:eastAsia="zh-CN"/>
        </w:rPr>
        <w:t>2</w:t>
      </w:r>
    </w:p>
    <w:p w14:paraId="686A8AC4">
      <w:pPr>
        <w:widowControl/>
        <w:adjustRightInd w:val="0"/>
        <w:snapToGrid w:val="0"/>
        <w:spacing w:after="0" w:line="520" w:lineRule="exact"/>
        <w:jc w:val="both"/>
        <w:rPr>
          <w:rFonts w:hint="default" w:ascii="Nimbus Roman" w:hAnsi="Nimbus Roman" w:eastAsia="仿宋" w:cs="Nimbus Roman"/>
          <w:kern w:val="0"/>
          <w:sz w:val="32"/>
          <w:szCs w:val="32"/>
          <w:lang w:val="en-US" w:eastAsia="zh-CN"/>
        </w:rPr>
      </w:pPr>
    </w:p>
    <w:p w14:paraId="6095CDC4">
      <w:pPr>
        <w:widowControl w:val="0"/>
        <w:adjustRightInd/>
        <w:snapToGrid/>
        <w:spacing w:after="0" w:line="500" w:lineRule="exact"/>
        <w:jc w:val="center"/>
        <w:rPr>
          <w:rFonts w:hint="eastAsia" w:ascii="方正小标宋简体" w:hAnsi="Nimbus Roman" w:eastAsia="方正小标宋简体" w:cs="Nimbus Roman"/>
          <w:bCs/>
          <w:kern w:val="2"/>
          <w:sz w:val="44"/>
          <w:szCs w:val="44"/>
          <w:lang w:val="en-US" w:eastAsia="zh-CN"/>
        </w:rPr>
      </w:pPr>
      <w:r>
        <w:rPr>
          <w:rFonts w:hint="eastAsia" w:ascii="方正小标宋简体" w:hAnsi="Nimbus Roman" w:eastAsia="方正小标宋简体" w:cs="Nimbus Roman"/>
          <w:bCs/>
          <w:kern w:val="2"/>
          <w:sz w:val="44"/>
          <w:szCs w:val="44"/>
          <w:lang w:val="en-US" w:eastAsia="zh-CN"/>
        </w:rPr>
        <w:t>2026年到期区级科技创新计划项目清单</w:t>
      </w:r>
    </w:p>
    <w:tbl>
      <w:tblPr>
        <w:tblStyle w:val="3"/>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3720"/>
        <w:gridCol w:w="3165"/>
        <w:gridCol w:w="918"/>
      </w:tblGrid>
      <w:tr w14:paraId="294D6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tblHeader/>
          <w:jc w:val="center"/>
        </w:trPr>
        <w:tc>
          <w:tcPr>
            <w:tcW w:w="1054" w:type="dxa"/>
            <w:noWrap w:val="0"/>
            <w:vAlign w:val="center"/>
          </w:tcPr>
          <w:p w14:paraId="55AA7864">
            <w:pPr>
              <w:keepNext w:val="0"/>
              <w:keepLines w:val="0"/>
              <w:pageBreakBefore w:val="0"/>
              <w:kinsoku/>
              <w:wordWrap/>
              <w:overflowPunct/>
              <w:topLinePunct w:val="0"/>
              <w:autoSpaceDE/>
              <w:autoSpaceDN/>
              <w:bidi w:val="0"/>
              <w:adjustRightInd/>
              <w:snapToGrid/>
              <w:spacing w:line="280" w:lineRule="exact"/>
              <w:ind w:left="-63" w:leftChars="-30" w:right="-63" w:rightChars="-30" w:firstLine="0" w:firstLineChars="0"/>
              <w:jc w:val="center"/>
              <w:rPr>
                <w:rFonts w:hint="eastAsia" w:ascii="黑体" w:hAnsi="黑体" w:eastAsia="黑体" w:cs="黑体"/>
                <w:sz w:val="20"/>
                <w:szCs w:val="20"/>
              </w:rPr>
            </w:pPr>
            <w:r>
              <w:rPr>
                <w:rFonts w:hint="eastAsia" w:ascii="黑体" w:hAnsi="黑体" w:eastAsia="黑体" w:cs="黑体"/>
                <w:sz w:val="20"/>
                <w:szCs w:val="20"/>
              </w:rPr>
              <w:t>项目编号</w:t>
            </w:r>
          </w:p>
        </w:tc>
        <w:tc>
          <w:tcPr>
            <w:tcW w:w="3720" w:type="dxa"/>
            <w:noWrap w:val="0"/>
            <w:vAlign w:val="center"/>
          </w:tcPr>
          <w:p w14:paraId="6AA2345C">
            <w:pPr>
              <w:keepNext w:val="0"/>
              <w:keepLines w:val="0"/>
              <w:pageBreakBefore w:val="0"/>
              <w:kinsoku/>
              <w:wordWrap/>
              <w:overflowPunct/>
              <w:topLinePunct w:val="0"/>
              <w:autoSpaceDE/>
              <w:autoSpaceDN/>
              <w:bidi w:val="0"/>
              <w:adjustRightInd/>
              <w:snapToGrid/>
              <w:spacing w:line="280" w:lineRule="exact"/>
              <w:ind w:left="-63" w:leftChars="-30" w:right="-63" w:rightChars="-30" w:firstLine="0" w:firstLineChars="0"/>
              <w:jc w:val="center"/>
              <w:rPr>
                <w:rFonts w:hint="eastAsia" w:ascii="黑体" w:hAnsi="黑体" w:eastAsia="黑体" w:cs="黑体"/>
                <w:sz w:val="20"/>
                <w:szCs w:val="20"/>
              </w:rPr>
            </w:pPr>
            <w:r>
              <w:rPr>
                <w:rFonts w:hint="eastAsia" w:ascii="黑体" w:hAnsi="黑体" w:eastAsia="黑体" w:cs="黑体"/>
                <w:sz w:val="20"/>
                <w:szCs w:val="20"/>
              </w:rPr>
              <w:t>项目名称</w:t>
            </w:r>
          </w:p>
        </w:tc>
        <w:tc>
          <w:tcPr>
            <w:tcW w:w="3165" w:type="dxa"/>
            <w:noWrap w:val="0"/>
            <w:vAlign w:val="center"/>
          </w:tcPr>
          <w:p w14:paraId="3237C2B4">
            <w:pPr>
              <w:keepNext w:val="0"/>
              <w:keepLines w:val="0"/>
              <w:pageBreakBefore w:val="0"/>
              <w:kinsoku/>
              <w:wordWrap/>
              <w:overflowPunct/>
              <w:topLinePunct w:val="0"/>
              <w:autoSpaceDE/>
              <w:autoSpaceDN/>
              <w:bidi w:val="0"/>
              <w:adjustRightInd/>
              <w:snapToGrid/>
              <w:spacing w:line="280" w:lineRule="exact"/>
              <w:ind w:left="-63" w:leftChars="-30" w:right="-63" w:rightChars="-30" w:firstLine="0" w:firstLineChars="0"/>
              <w:jc w:val="center"/>
              <w:rPr>
                <w:rFonts w:hint="eastAsia" w:ascii="黑体" w:hAnsi="黑体" w:eastAsia="黑体" w:cs="黑体"/>
                <w:sz w:val="20"/>
                <w:szCs w:val="20"/>
              </w:rPr>
            </w:pPr>
            <w:r>
              <w:rPr>
                <w:rFonts w:hint="eastAsia" w:ascii="黑体" w:hAnsi="黑体" w:eastAsia="黑体" w:cs="黑体"/>
                <w:sz w:val="20"/>
                <w:szCs w:val="20"/>
              </w:rPr>
              <w:t>承担单位</w:t>
            </w:r>
          </w:p>
        </w:tc>
        <w:tc>
          <w:tcPr>
            <w:tcW w:w="918" w:type="dxa"/>
            <w:noWrap w:val="0"/>
            <w:vAlign w:val="center"/>
          </w:tcPr>
          <w:p w14:paraId="66D68108">
            <w:pPr>
              <w:keepNext w:val="0"/>
              <w:keepLines w:val="0"/>
              <w:pageBreakBefore w:val="0"/>
              <w:kinsoku/>
              <w:wordWrap/>
              <w:overflowPunct/>
              <w:topLinePunct w:val="0"/>
              <w:autoSpaceDE/>
              <w:autoSpaceDN/>
              <w:bidi w:val="0"/>
              <w:adjustRightInd/>
              <w:snapToGrid/>
              <w:spacing w:line="280" w:lineRule="exact"/>
              <w:ind w:left="-63" w:leftChars="-30" w:right="-63" w:rightChars="-30" w:firstLine="0" w:firstLineChars="0"/>
              <w:jc w:val="center"/>
              <w:rPr>
                <w:rFonts w:hint="eastAsia" w:ascii="黑体" w:hAnsi="黑体" w:eastAsia="黑体" w:cs="黑体"/>
                <w:sz w:val="20"/>
                <w:szCs w:val="20"/>
              </w:rPr>
            </w:pPr>
            <w:r>
              <w:rPr>
                <w:rFonts w:hint="eastAsia" w:ascii="黑体" w:hAnsi="黑体" w:eastAsia="黑体" w:cs="黑体"/>
                <w:sz w:val="20"/>
                <w:szCs w:val="20"/>
              </w:rPr>
              <w:t>金额</w:t>
            </w:r>
          </w:p>
          <w:p w14:paraId="1730A9DF">
            <w:pPr>
              <w:keepNext w:val="0"/>
              <w:keepLines w:val="0"/>
              <w:pageBreakBefore w:val="0"/>
              <w:kinsoku/>
              <w:wordWrap/>
              <w:overflowPunct/>
              <w:topLinePunct w:val="0"/>
              <w:autoSpaceDE/>
              <w:autoSpaceDN/>
              <w:bidi w:val="0"/>
              <w:adjustRightInd/>
              <w:snapToGrid/>
              <w:spacing w:line="280" w:lineRule="exact"/>
              <w:ind w:left="-63" w:leftChars="-30" w:right="-63" w:rightChars="-30" w:firstLine="0" w:firstLineChars="0"/>
              <w:jc w:val="center"/>
              <w:rPr>
                <w:rFonts w:hint="eastAsia" w:ascii="黑体" w:hAnsi="黑体" w:eastAsia="黑体" w:cs="黑体"/>
                <w:sz w:val="20"/>
                <w:szCs w:val="20"/>
              </w:rPr>
            </w:pPr>
            <w:r>
              <w:rPr>
                <w:rFonts w:hint="eastAsia" w:ascii="黑体" w:hAnsi="黑体" w:eastAsia="黑体" w:cs="黑体"/>
                <w:sz w:val="20"/>
                <w:szCs w:val="20"/>
              </w:rPr>
              <w:t>（万元）</w:t>
            </w:r>
          </w:p>
        </w:tc>
      </w:tr>
      <w:tr w14:paraId="5558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noWrap w:val="0"/>
            <w:vAlign w:val="center"/>
          </w:tcPr>
          <w:p w14:paraId="422D975A">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2025KJ01</w:t>
            </w:r>
          </w:p>
        </w:tc>
        <w:tc>
          <w:tcPr>
            <w:tcW w:w="3720" w:type="dxa"/>
            <w:noWrap w:val="0"/>
            <w:vAlign w:val="center"/>
          </w:tcPr>
          <w:p w14:paraId="172B88E6">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AI算力电源专用电解电容器技术攻关与产业化</w:t>
            </w:r>
          </w:p>
        </w:tc>
        <w:tc>
          <w:tcPr>
            <w:tcW w:w="3165" w:type="dxa"/>
            <w:noWrap w:val="0"/>
            <w:vAlign w:val="center"/>
          </w:tcPr>
          <w:p w14:paraId="0AC62706">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益阳市安兴电子有限公司</w:t>
            </w:r>
          </w:p>
        </w:tc>
        <w:tc>
          <w:tcPr>
            <w:tcW w:w="918" w:type="dxa"/>
            <w:noWrap w:val="0"/>
            <w:vAlign w:val="center"/>
          </w:tcPr>
          <w:p w14:paraId="0B752715">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w:t>
            </w:r>
          </w:p>
        </w:tc>
      </w:tr>
      <w:tr w14:paraId="1DA0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noWrap w:val="0"/>
            <w:vAlign w:val="center"/>
          </w:tcPr>
          <w:p w14:paraId="7BCC1F98">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2025KJ02</w:t>
            </w:r>
          </w:p>
        </w:tc>
        <w:tc>
          <w:tcPr>
            <w:tcW w:w="3720" w:type="dxa"/>
            <w:noWrap w:val="0"/>
            <w:vAlign w:val="center"/>
          </w:tcPr>
          <w:p w14:paraId="105B0506">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先进电子元器件用高强高导超铝丝研究</w:t>
            </w:r>
          </w:p>
        </w:tc>
        <w:tc>
          <w:tcPr>
            <w:tcW w:w="3165" w:type="dxa"/>
            <w:noWrap w:val="0"/>
            <w:vAlign w:val="center"/>
          </w:tcPr>
          <w:p w14:paraId="42C06420">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益阳市金昱荣电子有限责任公司</w:t>
            </w:r>
          </w:p>
        </w:tc>
        <w:tc>
          <w:tcPr>
            <w:tcW w:w="918" w:type="dxa"/>
            <w:noWrap w:val="0"/>
            <w:vAlign w:val="center"/>
          </w:tcPr>
          <w:p w14:paraId="32ECFF70">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w:t>
            </w:r>
          </w:p>
        </w:tc>
      </w:tr>
      <w:tr w14:paraId="7BE9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noWrap w:val="0"/>
            <w:vAlign w:val="center"/>
          </w:tcPr>
          <w:p w14:paraId="08466B6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2025KJ03</w:t>
            </w:r>
          </w:p>
        </w:tc>
        <w:tc>
          <w:tcPr>
            <w:tcW w:w="3720" w:type="dxa"/>
            <w:noWrap w:val="0"/>
            <w:vAlign w:val="center"/>
          </w:tcPr>
          <w:p w14:paraId="7102EBDC">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超宽温(-55℃~+155℃)铝电解电容器研究应用及产业化项目</w:t>
            </w:r>
          </w:p>
        </w:tc>
        <w:tc>
          <w:tcPr>
            <w:tcW w:w="3165" w:type="dxa"/>
            <w:noWrap w:val="0"/>
            <w:vAlign w:val="center"/>
          </w:tcPr>
          <w:p w14:paraId="29CE16CC">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益阳市鹏程科技发展有限公司</w:t>
            </w:r>
          </w:p>
        </w:tc>
        <w:tc>
          <w:tcPr>
            <w:tcW w:w="918" w:type="dxa"/>
            <w:noWrap w:val="0"/>
            <w:vAlign w:val="center"/>
          </w:tcPr>
          <w:p w14:paraId="520C3BF8">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w:t>
            </w:r>
          </w:p>
        </w:tc>
      </w:tr>
      <w:tr w14:paraId="1D6B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noWrap w:val="0"/>
            <w:vAlign w:val="center"/>
          </w:tcPr>
          <w:p w14:paraId="626675BD">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2025KJ04</w:t>
            </w:r>
          </w:p>
        </w:tc>
        <w:tc>
          <w:tcPr>
            <w:tcW w:w="3720" w:type="dxa"/>
            <w:noWrap w:val="0"/>
            <w:vAlign w:val="center"/>
          </w:tcPr>
          <w:p w14:paraId="016FAFF9">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高性能电容器用橡胶塞多层复合成型技术的研发及产业化</w:t>
            </w:r>
          </w:p>
        </w:tc>
        <w:tc>
          <w:tcPr>
            <w:tcW w:w="3165" w:type="dxa"/>
            <w:noWrap w:val="0"/>
            <w:vAlign w:val="center"/>
          </w:tcPr>
          <w:p w14:paraId="6D88F16B">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益阳科实达电子材料有限公司</w:t>
            </w:r>
          </w:p>
        </w:tc>
        <w:tc>
          <w:tcPr>
            <w:tcW w:w="918" w:type="dxa"/>
            <w:noWrap w:val="0"/>
            <w:vAlign w:val="center"/>
          </w:tcPr>
          <w:p w14:paraId="55AF5C55">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w:t>
            </w:r>
          </w:p>
        </w:tc>
      </w:tr>
      <w:tr w14:paraId="72CC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noWrap w:val="0"/>
            <w:vAlign w:val="center"/>
          </w:tcPr>
          <w:p w14:paraId="1210682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2025KJ05</w:t>
            </w:r>
          </w:p>
        </w:tc>
        <w:tc>
          <w:tcPr>
            <w:tcW w:w="3720" w:type="dxa"/>
            <w:noWrap w:val="0"/>
            <w:vAlign w:val="center"/>
          </w:tcPr>
          <w:p w14:paraId="7E73A460">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新型绿色环保消毒剂的关键技术研发及产业化</w:t>
            </w:r>
          </w:p>
        </w:tc>
        <w:tc>
          <w:tcPr>
            <w:tcW w:w="3165" w:type="dxa"/>
            <w:noWrap w:val="0"/>
            <w:vAlign w:val="center"/>
          </w:tcPr>
          <w:p w14:paraId="70A1B45C">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益阳市晖腾化工科技有限公司</w:t>
            </w:r>
          </w:p>
        </w:tc>
        <w:tc>
          <w:tcPr>
            <w:tcW w:w="918" w:type="dxa"/>
            <w:noWrap w:val="0"/>
            <w:vAlign w:val="center"/>
          </w:tcPr>
          <w:p w14:paraId="658AD856">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6272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noWrap w:val="0"/>
            <w:vAlign w:val="center"/>
          </w:tcPr>
          <w:p w14:paraId="29CEE11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2025KJ06</w:t>
            </w:r>
          </w:p>
        </w:tc>
        <w:tc>
          <w:tcPr>
            <w:tcW w:w="3720" w:type="dxa"/>
            <w:noWrap w:val="0"/>
            <w:vAlign w:val="center"/>
          </w:tcPr>
          <w:p w14:paraId="01EED543">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高纯度轻量化电容器铝壳的研发及产业化应用</w:t>
            </w:r>
          </w:p>
        </w:tc>
        <w:tc>
          <w:tcPr>
            <w:tcW w:w="3165" w:type="dxa"/>
            <w:noWrap w:val="0"/>
            <w:vAlign w:val="center"/>
          </w:tcPr>
          <w:p w14:paraId="2819C768">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益阳市达明电子材料有限公司</w:t>
            </w:r>
          </w:p>
        </w:tc>
        <w:tc>
          <w:tcPr>
            <w:tcW w:w="918" w:type="dxa"/>
            <w:noWrap w:val="0"/>
            <w:vAlign w:val="center"/>
          </w:tcPr>
          <w:p w14:paraId="7C6451B1">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w:t>
            </w:r>
          </w:p>
        </w:tc>
      </w:tr>
      <w:tr w14:paraId="750B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5A41E77B">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2025KJ07</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0FFD3A2B">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高性能数控机床金属材料的研究与产业化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2469AC79">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湖南宏信机械工程有限公司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3F19EC0E">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w:t>
            </w:r>
          </w:p>
        </w:tc>
      </w:tr>
      <w:tr w14:paraId="49FA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0DEF348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2025KJ08</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31210456">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高性能抗静电载带材料关键技术研发</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10D79BE7">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益阳市博然科技有限公司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1CBCA566">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w:t>
            </w:r>
          </w:p>
        </w:tc>
      </w:tr>
      <w:tr w14:paraId="21E9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21DAC3FD">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2025KJ09</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07A42256">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高纯度二氧化硒绿色生产技术研发与产业化应用</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5599A325">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益阳市众兴非金属材料有限公司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461721DD">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7C06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03C20E8A">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2025KJ10</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050A4D47">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高效节能阻燃母粒生产用冷却装置的研发及产业化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1BC8173C">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湖南中锦华泰科技有限公司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2480BF55">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1E3E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1602276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2025KJ11</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5CDCCC6D">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铝电解电容器导针铝线化成关键技术的研发与产业化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3FBAF31F">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益阳市益利达电子有限公司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7C0A1547">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w:t>
            </w:r>
          </w:p>
        </w:tc>
      </w:tr>
      <w:tr w14:paraId="17FD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26F820F8">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2025KJ12</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41349B1A">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贵金属在线回收关键技术研究与应用</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58EFA91C">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湖南恒铭环保科技有限公司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7E2BC284">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w:t>
            </w:r>
          </w:p>
        </w:tc>
      </w:tr>
      <w:tr w14:paraId="0B19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3B410E4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2025KJ13</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09809ED5">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面向电子信息与新材料产业的高精度空心轴关键技术研发及产业化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3DAFC104">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益阳顺为机械制造有限公司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409B65EA">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w:t>
            </w:r>
          </w:p>
        </w:tc>
      </w:tr>
      <w:tr w14:paraId="1B1E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57988D85">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2025KJ14</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473F84C9">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天然肠衣修复创新与产业化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5C1DDF62">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湖南华一生物科技有限公司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3EC98679">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1F54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61070DF0">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2025KJ15</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794CAE2D">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大米加工碾米抛光研发及产业化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57489834">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益阳市大金鹰米业有限公司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0482AD0D">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60E9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60E83FC0">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2025KJ16</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0A692561">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一种即食螺肉嫩化技术研发及产业化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7F890FBA">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湖南龙泉农副产品有限公司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6CE4986C">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454B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2E24CA1D">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2025KJ17</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4F128548">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宁乡花猪标准化养殖技术推广应用</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7FD76CD9">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益阳市赫山区合亿黄金农业科技开发有限公司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5BA21971">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6D28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205FEFBA">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2025KJ18</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1FAF346E">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水稻降隔高产栽培技术集成中试及推广应用</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3D6495D8">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湖南中亿现代农业发展股份有限公司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5BDF403D">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1062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5066C39E">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2025KJ19</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79B64CBD">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 xml:space="preserve"> 惠和堂黑茶精华片研发产业化应用</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73FF47BA">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益阳冠隆誉黑茶发展有限公司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50C31854">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6FA83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7271E59E">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2025KJ20</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0F5A10ED">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植保无人机识别田块级动态测土配方施肥技术推广应用</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3A0200DA">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湖南禾下土农业发展有限公司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4D1F2DDA">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57F5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2021EEB9">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2025KJ21</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50D51A92">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肉牛高产高效养殖技术研究与示范推广</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4B36E175">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益阳市赫山区安泰黄牛饲养专业合作社</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289779CA">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140D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577E6D15">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2025KJ22</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70D3D42A">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鳝鱼苗人工繁育体系构建与产业化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53852BFF">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湖南泽诚农业科技发展有限公司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1E9795F4">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1BD0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2F53A765">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2025KJ23</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3EDDE377">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油茶高产品种成果推广应用</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1278E7B9">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益阳市赫山区金塘苗木种植农民专业合作社</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3DD2B535">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5F75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2324B120">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2025KJ24</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18E02C62">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农家土养鸡品种改良与生态养殖技术集成示范</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6F5FFF11">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益阳市湘宏发农场有限公司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1FD77DBF">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7410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3E8EC978">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2025KJ25</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57F3B086">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瓜蒌瓜瓤糖化工艺优化及产品研发</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68DC3771">
            <w:pPr>
              <w:widowControl w:val="0"/>
              <w:adjustRightInd/>
              <w:snapToGrid/>
              <w:spacing w:after="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益阳市泥江口镇太阳庵村集体经济组织</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537FF421">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4CCA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650500EE">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2025KJ26</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70850E67">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秸秆资源化利用创新与产业化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21D1C4CD">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湖南益垚生态农业科技有限公司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13EE8841">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0850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3C165BF0">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2025KJ27</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65C5A5C7">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双季稻“早专晚优”全程机械化绿色生产技术推广应用</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143CA2B6">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益阳市赫山区明致农业科技有限公司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6E44E434">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0831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45AF11AB">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2025KJ28</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39B87EA6">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赫山区青少年科技创新实践基地建设</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36B169DF">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益阳市赫山区箴言龙光桥学校</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760EE944">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5F2B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3614F8D7">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2025KJ29</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3EE40B22">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赫山成果转化与技术转移平台</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27C18C01">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湖南紫竹科技有限公司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63684A29">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20</w:t>
            </w:r>
          </w:p>
        </w:tc>
      </w:tr>
      <w:tr w14:paraId="43E9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49470E09">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2025KJ30</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7B1E437F">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飞防技术赋能农作物病虫害绿色防治示范</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5BCEE598">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湖南益农飞防农业综合服务有限公司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7ACF5D8E">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3712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5EA03065">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2025KJ31</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214AA1BE">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数据驱动的智能生产协同优化平台研发与产业化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7A6971BD">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益阳市和天电子有限公司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29D6F85A">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w:t>
            </w:r>
          </w:p>
        </w:tc>
      </w:tr>
      <w:tr w14:paraId="0BFF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2188CB80">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2025KJ32</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6DFBC522">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科技成果转化服务平台功能拓展与区域推广</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4E8EDB64">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益阳市大秦鼎知识产权代理有限公司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30702A99">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2756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46F2BDEB">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2025KJ33</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69DC8ADE">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黑茶金花活性成分精深加工技术成果转化与乡村振兴示范平台建设</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1A40EE6A">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益阳市赫山区供销合作社惠农服务有限公司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53CC52AA">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0EAB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423C2A3D">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2025KJ34</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59694C01">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基于多模态感知与深度学习的城市生活垃圾智能识别与精准分类系统研发及应用</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3AFE3A0E">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湖南金世达城市公共设施有限公司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20862EA1">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6293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2616ADD9">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2025KJ35</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29438435">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赫山区电容湘军公共服务平台建设</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356DD2C0">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益阳市赫山区中小企业服务中心</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0E8A9B69">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03E2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677F99D6">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2025KJ36</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5AC284FB">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绿色环保型母婴纺织品成果转化及产业化</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25D2E5A4">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益阳市雪欧妮服饰有限公司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50DC6668">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w:t>
            </w:r>
          </w:p>
        </w:tc>
      </w:tr>
      <w:tr w14:paraId="6384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5268D4C6">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2025KJ37</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09E88B1B">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农田“管家”新模式的创新与推广</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1E6DE3B9">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湖南农田谋士现代农业集团有限公司</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47C944DC">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22DEF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1054" w:type="dxa"/>
            <w:tcBorders>
              <w:top w:val="single" w:color="auto" w:sz="4" w:space="0"/>
              <w:left w:val="single" w:color="auto" w:sz="4" w:space="0"/>
              <w:bottom w:val="single" w:color="auto" w:sz="4" w:space="0"/>
              <w:right w:val="single" w:color="auto" w:sz="4" w:space="0"/>
            </w:tcBorders>
            <w:noWrap w:val="0"/>
            <w:vAlign w:val="center"/>
          </w:tcPr>
          <w:p w14:paraId="5E621168">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2025KJ38</w:t>
            </w:r>
          </w:p>
        </w:tc>
        <w:tc>
          <w:tcPr>
            <w:tcW w:w="3720" w:type="dxa"/>
            <w:tcBorders>
              <w:top w:val="single" w:color="auto" w:sz="4" w:space="0"/>
              <w:left w:val="single" w:color="auto" w:sz="4" w:space="0"/>
              <w:bottom w:val="single" w:color="auto" w:sz="4" w:space="0"/>
              <w:right w:val="single" w:color="auto" w:sz="4" w:space="0"/>
            </w:tcBorders>
            <w:noWrap w:val="0"/>
            <w:vAlign w:val="center"/>
          </w:tcPr>
          <w:p w14:paraId="4C77594D">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“艾立华懒人土豆”推广示范</w:t>
            </w:r>
          </w:p>
        </w:tc>
        <w:tc>
          <w:tcPr>
            <w:tcW w:w="3165" w:type="dxa"/>
            <w:tcBorders>
              <w:top w:val="single" w:color="auto" w:sz="4" w:space="0"/>
              <w:left w:val="single" w:color="auto" w:sz="4" w:space="0"/>
              <w:bottom w:val="single" w:color="auto" w:sz="4" w:space="0"/>
              <w:right w:val="single" w:color="auto" w:sz="4" w:space="0"/>
            </w:tcBorders>
            <w:noWrap w:val="0"/>
            <w:vAlign w:val="center"/>
          </w:tcPr>
          <w:p w14:paraId="400BD421">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湖南悦悦生态种养殖专业合作社</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214D2537">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p>
        </w:tc>
      </w:tr>
      <w:tr w14:paraId="52DD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7939" w:type="dxa"/>
            <w:gridSpan w:val="3"/>
            <w:tcBorders>
              <w:top w:val="single" w:color="auto" w:sz="4" w:space="0"/>
              <w:left w:val="single" w:color="auto" w:sz="4" w:space="0"/>
              <w:bottom w:val="single" w:color="auto" w:sz="4" w:space="0"/>
              <w:right w:val="single" w:color="auto" w:sz="4" w:space="0"/>
            </w:tcBorders>
            <w:noWrap w:val="0"/>
            <w:vAlign w:val="center"/>
          </w:tcPr>
          <w:p w14:paraId="2B0834F0">
            <w:pPr>
              <w:widowControl w:val="0"/>
              <w:adjustRightInd/>
              <w:snapToGrid/>
              <w:spacing w:after="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合  计</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7B9A0206">
            <w:pPr>
              <w:widowControl w:val="0"/>
              <w:adjustRightInd/>
              <w:snapToGrid/>
              <w:spacing w:after="0"/>
              <w:jc w:val="both"/>
              <w:rPr>
                <w:rFonts w:hint="default"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180</w:t>
            </w:r>
          </w:p>
        </w:tc>
      </w:tr>
    </w:tbl>
    <w:p w14:paraId="7D746058">
      <w:pPr>
        <w:widowControl w:val="0"/>
        <w:adjustRightInd/>
        <w:snapToGrid/>
        <w:spacing w:after="0" w:line="500" w:lineRule="exact"/>
        <w:jc w:val="center"/>
        <w:rPr>
          <w:rFonts w:hint="eastAsia" w:ascii="方正小标宋简体" w:hAnsi="Nimbus Roman" w:eastAsia="方正小标宋简体" w:cs="Nimbus Roman"/>
          <w:bCs/>
          <w:color w:val="auto"/>
          <w:kern w:val="2"/>
          <w:sz w:val="44"/>
          <w:szCs w:val="44"/>
          <w:lang w:val="en-US" w:eastAsia="zh-CN"/>
        </w:rPr>
      </w:pPr>
    </w:p>
    <w:p w14:paraId="71197364">
      <w:pPr>
        <w:rPr>
          <w:rFonts w:hint="eastAsia" w:ascii="方正小标宋简体" w:hAnsi="Nimbus Roman" w:eastAsia="方正小标宋简体" w:cs="Nimbus Roman"/>
          <w:bCs/>
          <w:color w:val="auto"/>
          <w:kern w:val="2"/>
          <w:sz w:val="44"/>
          <w:szCs w:val="44"/>
          <w:lang w:val="en-US" w:eastAsia="zh-CN"/>
        </w:rPr>
      </w:pPr>
    </w:p>
    <w:p w14:paraId="7516BABA">
      <w:pPr>
        <w:pStyle w:val="2"/>
        <w:rPr>
          <w:rFonts w:hint="eastAsia" w:ascii="方正小标宋简体" w:hAnsi="Nimbus Roman" w:eastAsia="方正小标宋简体" w:cs="Nimbus Roman"/>
          <w:bCs/>
          <w:color w:val="auto"/>
          <w:kern w:val="2"/>
          <w:sz w:val="44"/>
          <w:szCs w:val="44"/>
          <w:lang w:val="en-US" w:eastAsia="zh-CN"/>
        </w:rPr>
      </w:pPr>
    </w:p>
    <w:p w14:paraId="2889C728">
      <w:pPr>
        <w:rPr>
          <w:rFonts w:hint="eastAsia" w:ascii="方正小标宋简体" w:hAnsi="Nimbus Roman" w:eastAsia="方正小标宋简体" w:cs="Nimbus Roman"/>
          <w:bCs/>
          <w:color w:val="auto"/>
          <w:kern w:val="2"/>
          <w:sz w:val="44"/>
          <w:szCs w:val="44"/>
          <w:lang w:val="en-US" w:eastAsia="zh-CN"/>
        </w:rPr>
      </w:pPr>
    </w:p>
    <w:p w14:paraId="0B295116">
      <w:pPr>
        <w:pStyle w:val="2"/>
        <w:rPr>
          <w:rFonts w:hint="eastAsia" w:ascii="方正小标宋简体" w:hAnsi="Nimbus Roman" w:eastAsia="方正小标宋简体" w:cs="Nimbus Roman"/>
          <w:bCs/>
          <w:color w:val="auto"/>
          <w:kern w:val="2"/>
          <w:sz w:val="44"/>
          <w:szCs w:val="44"/>
          <w:lang w:val="en-US" w:eastAsia="zh-CN"/>
        </w:rPr>
      </w:pPr>
    </w:p>
    <w:p w14:paraId="32086E50">
      <w:pPr>
        <w:rPr>
          <w:rFonts w:hint="eastAsia" w:ascii="方正小标宋简体" w:hAnsi="Nimbus Roman" w:eastAsia="方正小标宋简体" w:cs="Nimbus Roman"/>
          <w:bCs/>
          <w:color w:val="auto"/>
          <w:kern w:val="2"/>
          <w:sz w:val="44"/>
          <w:szCs w:val="44"/>
          <w:lang w:val="en-US" w:eastAsia="zh-CN"/>
        </w:rPr>
      </w:pPr>
    </w:p>
    <w:p w14:paraId="3D80FFC7">
      <w:pPr>
        <w:pStyle w:val="2"/>
        <w:rPr>
          <w:rFonts w:hint="eastAsia" w:ascii="方正小标宋简体" w:hAnsi="Nimbus Roman" w:eastAsia="方正小标宋简体" w:cs="Nimbus Roman"/>
          <w:bCs/>
          <w:color w:val="auto"/>
          <w:kern w:val="2"/>
          <w:sz w:val="44"/>
          <w:szCs w:val="44"/>
          <w:lang w:val="en-US" w:eastAsia="zh-CN"/>
        </w:rPr>
      </w:pPr>
    </w:p>
    <w:p w14:paraId="43C50889">
      <w:pPr>
        <w:rPr>
          <w:rFonts w:hint="eastAsia" w:ascii="方正小标宋简体" w:hAnsi="Nimbus Roman" w:eastAsia="方正小标宋简体" w:cs="Nimbus Roman"/>
          <w:bCs/>
          <w:color w:val="auto"/>
          <w:kern w:val="2"/>
          <w:sz w:val="44"/>
          <w:szCs w:val="44"/>
          <w:lang w:val="en-US" w:eastAsia="zh-CN"/>
        </w:rPr>
      </w:pPr>
    </w:p>
    <w:p w14:paraId="6FCB7B0E">
      <w:pPr>
        <w:pStyle w:val="2"/>
        <w:rPr>
          <w:rFonts w:hint="eastAsia" w:ascii="方正小标宋简体" w:hAnsi="Nimbus Roman" w:eastAsia="方正小标宋简体" w:cs="Nimbus Roman"/>
          <w:bCs/>
          <w:color w:val="auto"/>
          <w:kern w:val="2"/>
          <w:sz w:val="44"/>
          <w:szCs w:val="44"/>
          <w:lang w:val="en-US" w:eastAsia="zh-CN"/>
        </w:rPr>
      </w:pPr>
    </w:p>
    <w:p w14:paraId="1316164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imbus Roman">
    <w:altName w:val="Segoe Print"/>
    <w:panose1 w:val="00000500000000000000"/>
    <w:charset w:val="00"/>
    <w:family w:val="auto"/>
    <w:pitch w:val="default"/>
    <w:sig w:usb0="00000000" w:usb1="00000000" w:usb2="00000000" w:usb3="00000000" w:csb0="600000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KSOF439EEF5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A82DD1"/>
    <w:rsid w:val="66A82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1"/>
    <w:next w:val="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2026-09-18T03:18:00Z</dcterms:created>
  <dc:creator>ZYLX</dc:creator>
  <cp:lastModifiedBy>ZYLX</cp:lastModifiedBy>
  <dcterms:modified xsi:type="dcterms:W3CDTF">2026-09-18T03:21:05Z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08FB54336E9F49608526A2DCEA7E0A29_11</vt:lpwstr>
  </property>
  <property fmtid="{D5CDD505-2E9C-101B-9397-08002B2CF9AE}" pid="4" name="KSOTemplateDocerSaveRecord">
    <vt:lpwstr>eyJoZGlkIjoiZTJlYjc1OGI5ZDcyYjMyMGRjMWJjYTFkZGUzZTgwNzgiLCJ1c2VySWQiOiIxNDEzMDE2OTM1In0=</vt:lpwstr>
  </property>
</Properties>
</file>