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CFF09">
      <w:pPr>
        <w:widowControl/>
        <w:adjustRightInd w:val="0"/>
        <w:snapToGrid w:val="0"/>
        <w:spacing w:after="0" w:line="520" w:lineRule="exact"/>
        <w:jc w:val="center"/>
        <w:rPr>
          <w:rFonts w:hint="eastAsia" w:ascii="Times New Roman" w:hAnsi="Times New Roman" w:eastAsia="方正小标宋简体"/>
          <w:color w:val="000000"/>
          <w:sz w:val="44"/>
          <w:szCs w:val="44"/>
        </w:rPr>
      </w:pPr>
      <w:r>
        <w:rPr>
          <w:rFonts w:hint="eastAsia" w:ascii="Times New Roman" w:hAnsi="Times New Roman" w:eastAsia="方正小标宋简体" w:cs="Times New Roman"/>
          <w:color w:val="000000"/>
          <w:sz w:val="44"/>
          <w:szCs w:val="44"/>
          <w:lang w:eastAsia="zh-CN"/>
        </w:rPr>
        <w:t>赫山区计划</w:t>
      </w:r>
      <w:r>
        <w:rPr>
          <w:rFonts w:hint="eastAsia" w:ascii="Times New Roman" w:hAnsi="Times New Roman" w:eastAsia="方正小标宋简体"/>
          <w:color w:val="000000"/>
          <w:sz w:val="44"/>
          <w:szCs w:val="44"/>
        </w:rPr>
        <w:t>项目验收绩效自评报告</w:t>
      </w:r>
    </w:p>
    <w:p w14:paraId="7398C3FF">
      <w:pPr>
        <w:spacing w:line="600" w:lineRule="exact"/>
        <w:jc w:val="center"/>
        <w:rPr>
          <w:rFonts w:ascii="Times New Roman" w:hAnsi="Times New Roman" w:eastAsia="仿宋"/>
          <w:color w:val="000000"/>
          <w:sz w:val="32"/>
          <w:szCs w:val="32"/>
        </w:rPr>
      </w:pPr>
      <w:r>
        <w:rPr>
          <w:rFonts w:ascii="Times New Roman" w:hAnsi="Times New Roman" w:eastAsia="仿宋"/>
          <w:color w:val="000000"/>
          <w:sz w:val="32"/>
          <w:szCs w:val="32"/>
        </w:rPr>
        <w:t>（提纲）</w:t>
      </w:r>
    </w:p>
    <w:p w14:paraId="614024F3">
      <w:pPr>
        <w:adjustRightInd w:val="0"/>
        <w:snapToGrid w:val="0"/>
        <w:spacing w:line="600" w:lineRule="exact"/>
        <w:ind w:firstLine="640" w:firstLineChars="200"/>
        <w:rPr>
          <w:rFonts w:ascii="Times New Roman" w:hAnsi="Times New Roman" w:eastAsia="黑体"/>
          <w:color w:val="000000"/>
          <w:sz w:val="32"/>
          <w:szCs w:val="32"/>
        </w:rPr>
      </w:pPr>
      <w:bookmarkStart w:id="0" w:name="OLE_LINK50"/>
      <w:bookmarkStart w:id="1" w:name="OLE_LINK43"/>
      <w:r>
        <w:rPr>
          <w:rFonts w:ascii="Times New Roman" w:hAnsi="Times New Roman" w:eastAsia="黑体"/>
          <w:color w:val="000000"/>
          <w:sz w:val="32"/>
          <w:szCs w:val="32"/>
        </w:rPr>
        <w:t>一、项目实施情况</w:t>
      </w:r>
    </w:p>
    <w:bookmarkEnd w:id="0"/>
    <w:p w14:paraId="48A8D531">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1. 项目总体实施情况</w:t>
      </w:r>
    </w:p>
    <w:p w14:paraId="19C2D840">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对照项目任务书的目标和各项主要考核指标，阐明项目总体进展情况，项目实施、重要产出和成果等对专项整体进展、完成专项目标的贡献。</w:t>
      </w:r>
    </w:p>
    <w:p w14:paraId="33AA8C0A">
      <w:pPr>
        <w:adjustRightInd w:val="0"/>
        <w:snapToGrid w:val="0"/>
        <w:spacing w:line="600" w:lineRule="exact"/>
        <w:ind w:firstLine="640" w:firstLineChars="200"/>
        <w:rPr>
          <w:rFonts w:ascii="Times New Roman" w:hAnsi="Times New Roman" w:eastAsia="仿宋"/>
          <w:color w:val="000000"/>
          <w:sz w:val="32"/>
          <w:szCs w:val="32"/>
        </w:rPr>
      </w:pPr>
    </w:p>
    <w:p w14:paraId="668A32F3">
      <w:pPr>
        <w:adjustRightInd w:val="0"/>
        <w:snapToGrid w:val="0"/>
        <w:spacing w:line="600" w:lineRule="exact"/>
        <w:jc w:val="center"/>
        <w:rPr>
          <w:rFonts w:ascii="Times New Roman" w:hAnsi="Times New Roman" w:eastAsia="仿宋"/>
          <w:color w:val="000000"/>
          <w:sz w:val="32"/>
          <w:szCs w:val="32"/>
        </w:rPr>
      </w:pPr>
      <w:bookmarkStart w:id="2" w:name="OLE_LINK53"/>
      <w:r>
        <w:rPr>
          <w:rFonts w:ascii="Times New Roman" w:hAnsi="Times New Roman" w:eastAsia="仿宋_GB2312"/>
          <w:kern w:val="0"/>
          <w:sz w:val="32"/>
          <w:szCs w:val="32"/>
        </w:rPr>
        <w:t>任务书考核指标完成情况对照表</w:t>
      </w:r>
      <w:bookmarkEnd w:id="2"/>
    </w:p>
    <w:tbl>
      <w:tblPr>
        <w:tblStyle w:val="3"/>
        <w:tblW w:w="0" w:type="auto"/>
        <w:tblInd w:w="107" w:type="dxa"/>
        <w:tblLayout w:type="fixed"/>
        <w:tblCellMar>
          <w:top w:w="0" w:type="dxa"/>
          <w:left w:w="0" w:type="dxa"/>
          <w:bottom w:w="0" w:type="dxa"/>
          <w:right w:w="0" w:type="dxa"/>
        </w:tblCellMar>
      </w:tblPr>
      <w:tblGrid>
        <w:gridCol w:w="849"/>
        <w:gridCol w:w="3420"/>
        <w:gridCol w:w="2636"/>
        <w:gridCol w:w="1635"/>
      </w:tblGrid>
      <w:tr w14:paraId="66091487">
        <w:tblPrEx>
          <w:tblCellMar>
            <w:top w:w="0" w:type="dxa"/>
            <w:left w:w="0" w:type="dxa"/>
            <w:bottom w:w="0" w:type="dxa"/>
            <w:right w:w="0" w:type="dxa"/>
          </w:tblCellMar>
        </w:tblPrEx>
        <w:trPr>
          <w:trHeight w:val="730" w:hRule="exact"/>
        </w:trPr>
        <w:tc>
          <w:tcPr>
            <w:tcW w:w="849" w:type="dxa"/>
            <w:tcBorders>
              <w:top w:val="single" w:color="000000" w:sz="4" w:space="0"/>
              <w:left w:val="single" w:color="000000" w:sz="4" w:space="0"/>
              <w:bottom w:val="single" w:color="000000" w:sz="4" w:space="0"/>
              <w:right w:val="single" w:color="000000" w:sz="4" w:space="0"/>
            </w:tcBorders>
            <w:noWrap w:val="0"/>
            <w:vAlign w:val="top"/>
          </w:tcPr>
          <w:p w14:paraId="3EF76A9B">
            <w:pPr>
              <w:kinsoku w:val="0"/>
              <w:overflowPunct w:val="0"/>
              <w:autoSpaceDE w:val="0"/>
              <w:autoSpaceDN w:val="0"/>
              <w:adjustRightInd w:val="0"/>
              <w:spacing w:before="1"/>
              <w:jc w:val="left"/>
              <w:rPr>
                <w:rFonts w:ascii="Times New Roman" w:hAnsi="Times New Roman" w:eastAsia="仿宋_GB2312"/>
                <w:sz w:val="17"/>
                <w:szCs w:val="17"/>
              </w:rPr>
            </w:pPr>
          </w:p>
          <w:p w14:paraId="2FD95D4A">
            <w:pPr>
              <w:kinsoku w:val="0"/>
              <w:overflowPunct w:val="0"/>
              <w:autoSpaceDE w:val="0"/>
              <w:autoSpaceDN w:val="0"/>
              <w:adjustRightInd w:val="0"/>
              <w:ind w:left="208"/>
              <w:jc w:val="left"/>
              <w:rPr>
                <w:rFonts w:ascii="Times New Roman" w:hAnsi="Times New Roman" w:eastAsia="宋体"/>
                <w:sz w:val="24"/>
              </w:rPr>
            </w:pPr>
            <w:r>
              <w:rPr>
                <w:rFonts w:ascii="Times New Roman" w:hAnsi="Times New Roman" w:eastAsia="宋体"/>
                <w:sz w:val="21"/>
                <w:szCs w:val="21"/>
              </w:rPr>
              <w:t>序号</w:t>
            </w:r>
          </w:p>
        </w:tc>
        <w:tc>
          <w:tcPr>
            <w:tcW w:w="3420" w:type="dxa"/>
            <w:tcBorders>
              <w:top w:val="single" w:color="000000" w:sz="4" w:space="0"/>
              <w:left w:val="single" w:color="000000" w:sz="4" w:space="0"/>
              <w:bottom w:val="single" w:color="000000" w:sz="4" w:space="0"/>
              <w:right w:val="single" w:color="000000" w:sz="4" w:space="0"/>
            </w:tcBorders>
            <w:noWrap w:val="0"/>
            <w:vAlign w:val="top"/>
          </w:tcPr>
          <w:p w14:paraId="027779C9">
            <w:pPr>
              <w:kinsoku w:val="0"/>
              <w:overflowPunct w:val="0"/>
              <w:autoSpaceDE w:val="0"/>
              <w:autoSpaceDN w:val="0"/>
              <w:adjustRightInd w:val="0"/>
              <w:spacing w:before="1"/>
              <w:jc w:val="left"/>
              <w:rPr>
                <w:rFonts w:ascii="Times New Roman" w:hAnsi="Times New Roman" w:eastAsia="仿宋_GB2312"/>
                <w:sz w:val="17"/>
                <w:szCs w:val="17"/>
              </w:rPr>
            </w:pPr>
          </w:p>
          <w:p w14:paraId="705E0A21">
            <w:pPr>
              <w:kinsoku w:val="0"/>
              <w:overflowPunct w:val="0"/>
              <w:autoSpaceDE w:val="0"/>
              <w:autoSpaceDN w:val="0"/>
              <w:adjustRightInd w:val="0"/>
              <w:ind w:left="130"/>
              <w:jc w:val="left"/>
              <w:rPr>
                <w:rFonts w:ascii="Times New Roman" w:hAnsi="Times New Roman" w:eastAsia="宋体"/>
                <w:sz w:val="24"/>
              </w:rPr>
            </w:pPr>
            <w:r>
              <w:rPr>
                <w:rFonts w:ascii="Times New Roman" w:hAnsi="Times New Roman" w:eastAsia="宋体"/>
                <w:sz w:val="21"/>
                <w:szCs w:val="21"/>
              </w:rPr>
              <w:t>考核指标（对照任务书逐条列出）</w:t>
            </w:r>
          </w:p>
        </w:tc>
        <w:tc>
          <w:tcPr>
            <w:tcW w:w="2636" w:type="dxa"/>
            <w:tcBorders>
              <w:top w:val="single" w:color="000000" w:sz="4" w:space="0"/>
              <w:left w:val="single" w:color="000000" w:sz="4" w:space="0"/>
              <w:bottom w:val="single" w:color="000000" w:sz="4" w:space="0"/>
              <w:right w:val="single" w:color="000000" w:sz="4" w:space="0"/>
            </w:tcBorders>
            <w:noWrap w:val="0"/>
            <w:vAlign w:val="top"/>
          </w:tcPr>
          <w:p w14:paraId="48819D50">
            <w:pPr>
              <w:kinsoku w:val="0"/>
              <w:overflowPunct w:val="0"/>
              <w:autoSpaceDE w:val="0"/>
              <w:autoSpaceDN w:val="0"/>
              <w:adjustRightInd w:val="0"/>
              <w:spacing w:before="1" w:line="360" w:lineRule="exact"/>
              <w:ind w:left="473" w:right="101" w:hanging="370"/>
              <w:jc w:val="left"/>
              <w:rPr>
                <w:rFonts w:ascii="Times New Roman" w:hAnsi="Times New Roman" w:eastAsia="宋体"/>
                <w:sz w:val="24"/>
              </w:rPr>
            </w:pPr>
            <w:r>
              <w:rPr>
                <w:rFonts w:ascii="Times New Roman" w:hAnsi="Times New Roman" w:eastAsia="宋体"/>
                <w:spacing w:val="-8"/>
                <w:sz w:val="21"/>
                <w:szCs w:val="21"/>
              </w:rPr>
              <w:t>完成情况（仅填写指标完成</w:t>
            </w:r>
            <w:r>
              <w:rPr>
                <w:rFonts w:ascii="Times New Roman" w:hAnsi="Times New Roman" w:eastAsia="宋体"/>
                <w:w w:val="99"/>
                <w:sz w:val="21"/>
                <w:szCs w:val="21"/>
              </w:rPr>
              <w:t xml:space="preserve"> </w:t>
            </w:r>
            <w:r>
              <w:rPr>
                <w:rFonts w:ascii="Times New Roman" w:hAnsi="Times New Roman" w:eastAsia="宋体"/>
                <w:sz w:val="21"/>
                <w:szCs w:val="21"/>
              </w:rPr>
              <w:t>情况及产出成果）</w:t>
            </w:r>
          </w:p>
        </w:tc>
        <w:tc>
          <w:tcPr>
            <w:tcW w:w="1635" w:type="dxa"/>
            <w:tcBorders>
              <w:top w:val="single" w:color="000000" w:sz="4" w:space="0"/>
              <w:left w:val="single" w:color="000000" w:sz="4" w:space="0"/>
              <w:bottom w:val="single" w:color="000000" w:sz="4" w:space="0"/>
              <w:right w:val="single" w:color="000000" w:sz="4" w:space="0"/>
            </w:tcBorders>
            <w:noWrap w:val="0"/>
            <w:vAlign w:val="top"/>
          </w:tcPr>
          <w:p w14:paraId="3AE59737">
            <w:pPr>
              <w:kinsoku w:val="0"/>
              <w:overflowPunct w:val="0"/>
              <w:autoSpaceDE w:val="0"/>
              <w:autoSpaceDN w:val="0"/>
              <w:adjustRightInd w:val="0"/>
              <w:spacing w:before="1"/>
              <w:jc w:val="left"/>
              <w:rPr>
                <w:rFonts w:ascii="Times New Roman" w:hAnsi="Times New Roman" w:eastAsia="仿宋_GB2312"/>
                <w:sz w:val="17"/>
                <w:szCs w:val="17"/>
              </w:rPr>
            </w:pPr>
          </w:p>
          <w:p w14:paraId="4E3644F0">
            <w:pPr>
              <w:kinsoku w:val="0"/>
              <w:overflowPunct w:val="0"/>
              <w:autoSpaceDE w:val="0"/>
              <w:autoSpaceDN w:val="0"/>
              <w:adjustRightInd w:val="0"/>
              <w:ind w:left="390"/>
              <w:jc w:val="left"/>
              <w:rPr>
                <w:rFonts w:ascii="Times New Roman" w:hAnsi="Times New Roman" w:eastAsia="宋体"/>
                <w:sz w:val="24"/>
              </w:rPr>
            </w:pPr>
            <w:r>
              <w:rPr>
                <w:rFonts w:ascii="Times New Roman" w:hAnsi="Times New Roman" w:eastAsia="宋体"/>
                <w:sz w:val="21"/>
                <w:szCs w:val="21"/>
              </w:rPr>
              <w:t>佐证材料</w:t>
            </w:r>
          </w:p>
        </w:tc>
      </w:tr>
      <w:tr w14:paraId="0E75C894">
        <w:tblPrEx>
          <w:tblCellMar>
            <w:top w:w="0" w:type="dxa"/>
            <w:left w:w="0" w:type="dxa"/>
            <w:bottom w:w="0" w:type="dxa"/>
            <w:right w:w="0" w:type="dxa"/>
          </w:tblCellMar>
        </w:tblPrEx>
        <w:trPr>
          <w:trHeight w:val="610" w:hRule="exact"/>
        </w:trPr>
        <w:tc>
          <w:tcPr>
            <w:tcW w:w="849" w:type="dxa"/>
            <w:tcBorders>
              <w:top w:val="single" w:color="000000" w:sz="4" w:space="0"/>
              <w:left w:val="single" w:color="000000" w:sz="4" w:space="0"/>
              <w:bottom w:val="single" w:color="000000" w:sz="4" w:space="0"/>
              <w:right w:val="single" w:color="000000" w:sz="4" w:space="0"/>
            </w:tcBorders>
            <w:noWrap w:val="0"/>
            <w:vAlign w:val="top"/>
          </w:tcPr>
          <w:p w14:paraId="33C9C30C">
            <w:pPr>
              <w:kinsoku w:val="0"/>
              <w:overflowPunct w:val="0"/>
              <w:autoSpaceDE w:val="0"/>
              <w:autoSpaceDN w:val="0"/>
              <w:adjustRightInd w:val="0"/>
              <w:spacing w:before="13"/>
              <w:jc w:val="left"/>
              <w:rPr>
                <w:rFonts w:ascii="Times New Roman" w:hAnsi="Times New Roman" w:eastAsia="仿宋_GB2312"/>
                <w:sz w:val="17"/>
                <w:szCs w:val="17"/>
              </w:rPr>
            </w:pPr>
          </w:p>
          <w:p w14:paraId="32E8C27C">
            <w:pPr>
              <w:kinsoku w:val="0"/>
              <w:overflowPunct w:val="0"/>
              <w:autoSpaceDE w:val="0"/>
              <w:autoSpaceDN w:val="0"/>
              <w:adjustRightInd w:val="0"/>
              <w:jc w:val="center"/>
              <w:rPr>
                <w:rFonts w:ascii="Times New Roman" w:hAnsi="Times New Roman" w:eastAsia="宋体"/>
                <w:sz w:val="24"/>
              </w:rPr>
            </w:pPr>
            <w:r>
              <w:rPr>
                <w:rFonts w:ascii="Times New Roman" w:hAnsi="Times New Roman" w:eastAsia="宋体"/>
                <w:w w:val="99"/>
                <w:sz w:val="21"/>
                <w:szCs w:val="21"/>
              </w:rPr>
              <w:t>1</w:t>
            </w:r>
          </w:p>
        </w:tc>
        <w:tc>
          <w:tcPr>
            <w:tcW w:w="3420" w:type="dxa"/>
            <w:tcBorders>
              <w:top w:val="single" w:color="000000" w:sz="4" w:space="0"/>
              <w:left w:val="single" w:color="000000" w:sz="4" w:space="0"/>
              <w:bottom w:val="single" w:color="000000" w:sz="4" w:space="0"/>
              <w:right w:val="single" w:color="000000" w:sz="4" w:space="0"/>
            </w:tcBorders>
            <w:noWrap w:val="0"/>
            <w:vAlign w:val="top"/>
          </w:tcPr>
          <w:p w14:paraId="67BA590F">
            <w:pPr>
              <w:autoSpaceDE w:val="0"/>
              <w:autoSpaceDN w:val="0"/>
              <w:adjustRightInd w:val="0"/>
              <w:jc w:val="left"/>
              <w:rPr>
                <w:rFonts w:ascii="Times New Roman" w:hAnsi="Times New Roman" w:eastAsia="宋体"/>
                <w:sz w:val="24"/>
              </w:rPr>
            </w:pPr>
          </w:p>
        </w:tc>
        <w:tc>
          <w:tcPr>
            <w:tcW w:w="2636" w:type="dxa"/>
            <w:tcBorders>
              <w:top w:val="single" w:color="000000" w:sz="4" w:space="0"/>
              <w:left w:val="single" w:color="000000" w:sz="4" w:space="0"/>
              <w:bottom w:val="single" w:color="000000" w:sz="4" w:space="0"/>
              <w:right w:val="single" w:color="000000" w:sz="4" w:space="0"/>
            </w:tcBorders>
            <w:noWrap w:val="0"/>
            <w:vAlign w:val="top"/>
          </w:tcPr>
          <w:p w14:paraId="7B2C5E8A">
            <w:pPr>
              <w:autoSpaceDE w:val="0"/>
              <w:autoSpaceDN w:val="0"/>
              <w:adjustRightInd w:val="0"/>
              <w:jc w:val="left"/>
              <w:rPr>
                <w:rFonts w:ascii="Times New Roman" w:hAnsi="Times New Roman" w:eastAsia="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top"/>
          </w:tcPr>
          <w:p w14:paraId="43937B35">
            <w:pPr>
              <w:autoSpaceDE w:val="0"/>
              <w:autoSpaceDN w:val="0"/>
              <w:adjustRightInd w:val="0"/>
              <w:jc w:val="left"/>
              <w:rPr>
                <w:rFonts w:ascii="Times New Roman" w:hAnsi="Times New Roman" w:eastAsia="宋体"/>
                <w:sz w:val="24"/>
              </w:rPr>
            </w:pPr>
          </w:p>
        </w:tc>
      </w:tr>
      <w:tr w14:paraId="09C30D15">
        <w:tblPrEx>
          <w:tblCellMar>
            <w:top w:w="0" w:type="dxa"/>
            <w:left w:w="0" w:type="dxa"/>
            <w:bottom w:w="0" w:type="dxa"/>
            <w:right w:w="0" w:type="dxa"/>
          </w:tblCellMar>
        </w:tblPrEx>
        <w:trPr>
          <w:trHeight w:val="610" w:hRule="exact"/>
        </w:trPr>
        <w:tc>
          <w:tcPr>
            <w:tcW w:w="849" w:type="dxa"/>
            <w:tcBorders>
              <w:top w:val="single" w:color="000000" w:sz="4" w:space="0"/>
              <w:left w:val="single" w:color="000000" w:sz="4" w:space="0"/>
              <w:bottom w:val="single" w:color="000000" w:sz="4" w:space="0"/>
              <w:right w:val="single" w:color="000000" w:sz="4" w:space="0"/>
            </w:tcBorders>
            <w:noWrap w:val="0"/>
            <w:vAlign w:val="top"/>
          </w:tcPr>
          <w:p w14:paraId="7412D2B8">
            <w:pPr>
              <w:kinsoku w:val="0"/>
              <w:overflowPunct w:val="0"/>
              <w:autoSpaceDE w:val="0"/>
              <w:autoSpaceDN w:val="0"/>
              <w:adjustRightInd w:val="0"/>
              <w:spacing w:before="12"/>
              <w:jc w:val="left"/>
              <w:rPr>
                <w:rFonts w:ascii="Times New Roman" w:hAnsi="Times New Roman" w:eastAsia="仿宋_GB2312"/>
                <w:sz w:val="17"/>
                <w:szCs w:val="17"/>
              </w:rPr>
            </w:pPr>
          </w:p>
          <w:p w14:paraId="560F696F">
            <w:pPr>
              <w:kinsoku w:val="0"/>
              <w:overflowPunct w:val="0"/>
              <w:autoSpaceDE w:val="0"/>
              <w:autoSpaceDN w:val="0"/>
              <w:adjustRightInd w:val="0"/>
              <w:ind w:left="103"/>
              <w:jc w:val="left"/>
              <w:rPr>
                <w:rFonts w:ascii="Times New Roman" w:hAnsi="Times New Roman" w:eastAsia="宋体"/>
                <w:sz w:val="24"/>
              </w:rPr>
            </w:pPr>
            <w:r>
              <w:rPr>
                <w:rFonts w:ascii="Times New Roman" w:hAnsi="Times New Roman" w:eastAsia="宋体"/>
                <w:sz w:val="21"/>
                <w:szCs w:val="21"/>
              </w:rPr>
              <w:t>......</w:t>
            </w:r>
          </w:p>
        </w:tc>
        <w:tc>
          <w:tcPr>
            <w:tcW w:w="3420" w:type="dxa"/>
            <w:tcBorders>
              <w:top w:val="single" w:color="000000" w:sz="4" w:space="0"/>
              <w:left w:val="single" w:color="000000" w:sz="4" w:space="0"/>
              <w:bottom w:val="single" w:color="000000" w:sz="4" w:space="0"/>
              <w:right w:val="single" w:color="000000" w:sz="4" w:space="0"/>
            </w:tcBorders>
            <w:noWrap w:val="0"/>
            <w:vAlign w:val="top"/>
          </w:tcPr>
          <w:p w14:paraId="06F583BE">
            <w:pPr>
              <w:autoSpaceDE w:val="0"/>
              <w:autoSpaceDN w:val="0"/>
              <w:adjustRightInd w:val="0"/>
              <w:jc w:val="left"/>
              <w:rPr>
                <w:rFonts w:ascii="Times New Roman" w:hAnsi="Times New Roman" w:eastAsia="宋体"/>
                <w:sz w:val="24"/>
              </w:rPr>
            </w:pPr>
          </w:p>
        </w:tc>
        <w:tc>
          <w:tcPr>
            <w:tcW w:w="2636" w:type="dxa"/>
            <w:tcBorders>
              <w:top w:val="single" w:color="000000" w:sz="4" w:space="0"/>
              <w:left w:val="single" w:color="000000" w:sz="4" w:space="0"/>
              <w:bottom w:val="single" w:color="000000" w:sz="4" w:space="0"/>
              <w:right w:val="single" w:color="000000" w:sz="4" w:space="0"/>
            </w:tcBorders>
            <w:noWrap w:val="0"/>
            <w:vAlign w:val="top"/>
          </w:tcPr>
          <w:p w14:paraId="00BD70AA">
            <w:pPr>
              <w:autoSpaceDE w:val="0"/>
              <w:autoSpaceDN w:val="0"/>
              <w:adjustRightInd w:val="0"/>
              <w:jc w:val="left"/>
              <w:rPr>
                <w:rFonts w:ascii="Times New Roman" w:hAnsi="Times New Roman" w:eastAsia="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top"/>
          </w:tcPr>
          <w:p w14:paraId="725F25B8">
            <w:pPr>
              <w:autoSpaceDE w:val="0"/>
              <w:autoSpaceDN w:val="0"/>
              <w:adjustRightInd w:val="0"/>
              <w:jc w:val="left"/>
              <w:rPr>
                <w:rFonts w:ascii="Times New Roman" w:hAnsi="Times New Roman" w:eastAsia="宋体"/>
                <w:sz w:val="24"/>
              </w:rPr>
            </w:pPr>
          </w:p>
        </w:tc>
      </w:tr>
    </w:tbl>
    <w:p w14:paraId="2FBAE0FD">
      <w:pPr>
        <w:adjustRightInd w:val="0"/>
        <w:snapToGrid w:val="0"/>
        <w:spacing w:line="600" w:lineRule="exact"/>
        <w:rPr>
          <w:rFonts w:ascii="Times New Roman" w:hAnsi="Times New Roman" w:eastAsia="仿宋"/>
          <w:color w:val="000000"/>
          <w:sz w:val="32"/>
          <w:szCs w:val="32"/>
        </w:rPr>
      </w:pPr>
    </w:p>
    <w:p w14:paraId="40AED87E">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2. 项目重要调整情况</w:t>
      </w:r>
    </w:p>
    <w:p w14:paraId="6BEA00B3">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对项目主要研究内容和考核指标调整、项目牵头单位/课题承担单位/课题参与单位变更、项目/课题负责人变更、项目骨干变更、项目（课题）执行期变更等调整情况进行说明（如无调整，此项可不写）。</w:t>
      </w:r>
    </w:p>
    <w:p w14:paraId="5D12869B">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 xml:space="preserve">3. 监督检查管理情况 </w:t>
      </w:r>
    </w:p>
    <w:p w14:paraId="031F4BF0">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执行期内绩效评价、中期评估、专项审计或财务审计等 存在问题及整改实施情况。</w:t>
      </w:r>
    </w:p>
    <w:p w14:paraId="150F0543">
      <w:pPr>
        <w:adjustRightInd w:val="0"/>
        <w:snapToGrid w:val="0"/>
        <w:spacing w:line="60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二、绩效自评</w:t>
      </w:r>
    </w:p>
    <w:p w14:paraId="1A5F3A37">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1. 产出成果水平与创新性</w:t>
      </w:r>
    </w:p>
    <w:p w14:paraId="5FE24EE9">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突出阐述产生的标志性成果、研究重要突破，项目的亮点、创新点，包括形成的专利、品种、产品、装备、标准、技术规范、规程、模式等知识产权，以及国际标准、国家标准、行业标准等研制完成情况。</w:t>
      </w:r>
    </w:p>
    <w:p w14:paraId="57B189CB">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2. 成果转移转化与推广应用</w:t>
      </w:r>
    </w:p>
    <w:p w14:paraId="15705A29">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项目产生成果的合作交流、转移转化和示范推广情况，人才、专利、技术标准等在项目中的实施情况等。</w:t>
      </w:r>
    </w:p>
    <w:p w14:paraId="4D4C20D9">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3. 经济社会效益</w:t>
      </w:r>
    </w:p>
    <w:p w14:paraId="73B428AB">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重点阐明项目研究对学科/行业产生的重要影响，所产生的经济、社会和生态效益情况，以及对促进本地区、本行业、本产业经济或社会发展的作用。</w:t>
      </w:r>
    </w:p>
    <w:p w14:paraId="23518DA1">
      <w:pPr>
        <w:adjustRightInd w:val="0"/>
        <w:snapToGrid w:val="0"/>
        <w:spacing w:line="60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三、组织管理</w:t>
      </w:r>
    </w:p>
    <w:p w14:paraId="5DFF13F5">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1. 人员投入使用情况</w:t>
      </w:r>
    </w:p>
    <w:p w14:paraId="3FF8F690">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 xml:space="preserve">对照项目任务书阐述项目的人员投入情况。 </w:t>
      </w:r>
    </w:p>
    <w:p w14:paraId="7AA101B2">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2. 项目组织管理情况</w:t>
      </w:r>
    </w:p>
    <w:p w14:paraId="23B3D25E">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阐述项目内部管理机构和管理制度建立、运行情况和效果，以及项目牵头单位组织课题间交流、检查评估等方面的管理情况。</w:t>
      </w:r>
    </w:p>
    <w:p w14:paraId="22065BE9">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3. 课题间协作情况</w:t>
      </w:r>
    </w:p>
    <w:p w14:paraId="43A55541">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阐述项目参与重点专项的相关管理活动，项目间资源与数据共享、协作研发以及成果转化应用情况，具有创新链上下游关系或关联性较强的相关项目实施中协调联动情况等。</w:t>
      </w:r>
    </w:p>
    <w:p w14:paraId="64A750C7">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4. 组织实施风险及应对情况</w:t>
      </w:r>
    </w:p>
    <w:p w14:paraId="64A33C55">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阐述项目在组织实施过程中，面对外部政策、组织管理、研发变化和知识产权等方面的风险以及应对措施。</w:t>
      </w:r>
    </w:p>
    <w:p w14:paraId="3D2132F6">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5. 资金投入、拨付与支出情况</w:t>
      </w:r>
    </w:p>
    <w:p w14:paraId="3CF30BE6">
      <w:pPr>
        <w:adjustRightInd w:val="0"/>
        <w:snapToGrid w:val="0"/>
        <w:spacing w:line="600" w:lineRule="exact"/>
        <w:ind w:firstLine="640" w:firstLineChars="200"/>
        <w:rPr>
          <w:rFonts w:ascii="Times New Roman" w:hAnsi="Times New Roman" w:eastAsia="仿宋"/>
          <w:color w:val="000000"/>
          <w:sz w:val="32"/>
          <w:szCs w:val="32"/>
        </w:rPr>
      </w:pPr>
      <w:r>
        <w:rPr>
          <w:rFonts w:ascii="Times New Roman" w:hAnsi="Times New Roman" w:eastAsia="仿宋"/>
          <w:color w:val="000000"/>
          <w:sz w:val="32"/>
          <w:szCs w:val="32"/>
        </w:rPr>
        <w:t>项目资金（包括专项资金、单位自筹资金和其他来源资金等）到位、拨付、调整、支出和资金使用监督管理情况等。</w:t>
      </w:r>
    </w:p>
    <w:p w14:paraId="107CF751">
      <w:pPr>
        <w:adjustRightInd w:val="0"/>
        <w:snapToGrid w:val="0"/>
        <w:spacing w:line="60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四、组织实施中的重大问题及建议</w:t>
      </w:r>
    </w:p>
    <w:p w14:paraId="6CC2CCAD">
      <w:pPr>
        <w:adjustRightInd w:val="0"/>
        <w:snapToGrid w:val="0"/>
        <w:spacing w:line="600" w:lineRule="exact"/>
        <w:ind w:firstLine="640" w:firstLineChars="200"/>
        <w:rPr>
          <w:rFonts w:ascii="Times New Roman" w:hAnsi="Times New Roman" w:eastAsia="仿宋"/>
          <w:color w:val="000000"/>
          <w:sz w:val="32"/>
          <w:szCs w:val="32"/>
        </w:rPr>
      </w:pPr>
    </w:p>
    <w:p w14:paraId="7ED8EA2A">
      <w:pPr>
        <w:adjustRightInd w:val="0"/>
        <w:snapToGrid w:val="0"/>
        <w:spacing w:line="600" w:lineRule="exact"/>
        <w:ind w:firstLine="640" w:firstLineChars="200"/>
        <w:rPr>
          <w:rFonts w:ascii="Times New Roman" w:hAnsi="Times New Roman" w:eastAsia="黑体"/>
          <w:color w:val="000000"/>
          <w:sz w:val="32"/>
          <w:szCs w:val="32"/>
        </w:rPr>
      </w:pPr>
      <w:r>
        <w:rPr>
          <w:rFonts w:ascii="Times New Roman" w:hAnsi="Times New Roman" w:eastAsia="黑体"/>
          <w:color w:val="000000"/>
          <w:sz w:val="32"/>
          <w:szCs w:val="32"/>
        </w:rPr>
        <w:t>五、项目任务书中有特殊约定或其他需要说明的事项</w:t>
      </w:r>
    </w:p>
    <w:bookmarkEnd w:id="1"/>
    <w:p w14:paraId="6F84E78E">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FA1E9D"/>
    <w:rsid w:val="6EFA1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next w:val="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2026-09-18T03:18:00Z</dcterms:created>
  <dc:creator>ZYLX</dc:creator>
  <cp:lastModifiedBy>ZYLX</cp:lastModifiedBy>
  <dcterms:modified xsi:type="dcterms:W3CDTF">2026-09-18T03:21:42Z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7C16328D0ADF4F3D900043FB818E47F0_11</vt:lpwstr>
  </property>
  <property fmtid="{D5CDD505-2E9C-101B-9397-08002B2CF9AE}" pid="4" name="KSOTemplateDocerSaveRecord">
    <vt:lpwstr>eyJoZGlkIjoiZTJlYjc1OGI5ZDcyYjMyMGRjMWJjYTFkZGUzZTgwNzgiLCJ1c2VySWQiOiIxNDEzMDE2OTM1In0=</vt:lpwstr>
  </property>
</Properties>
</file>